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8C269" w14:textId="77777777" w:rsidR="00042B5E" w:rsidRPr="00C87020" w:rsidRDefault="00042B5E" w:rsidP="00042B5E">
      <w:pPr>
        <w:pStyle w:val="papersubtitle"/>
        <w:jc w:val="left"/>
        <w:rPr>
          <w:sz w:val="40"/>
          <w:szCs w:val="40"/>
        </w:rPr>
      </w:pPr>
      <w:r w:rsidRPr="00C87020">
        <w:rPr>
          <w:sz w:val="40"/>
          <w:szCs w:val="40"/>
        </w:rPr>
        <w:t>Different Transfer Learning Approaches for COVID-19 Detection and Grad-CAM-Based Severity Assessment Using Chest X-Ray and CT Images</w:t>
      </w:r>
    </w:p>
    <w:p w14:paraId="0DC6EF9E" w14:textId="77777777" w:rsidR="00042B5E" w:rsidRDefault="00042B5E" w:rsidP="00042B5E">
      <w:pPr>
        <w:rPr>
          <w:sz w:val="24"/>
          <w:szCs w:val="24"/>
          <w:vertAlign w:val="superscript"/>
        </w:rPr>
      </w:pPr>
      <w:r w:rsidRPr="00080BC7">
        <w:t>Abubaker Benshatwan</w:t>
      </w:r>
      <w:proofErr w:type="gramStart"/>
      <w:r w:rsidRPr="00080BC7">
        <w:rPr>
          <w:vertAlign w:val="superscript"/>
        </w:rPr>
        <w:t>1</w:t>
      </w:r>
      <w:r>
        <w:rPr>
          <w:sz w:val="24"/>
          <w:szCs w:val="24"/>
          <w:vertAlign w:val="superscript"/>
        </w:rPr>
        <w:t xml:space="preserve">  </w:t>
      </w:r>
      <w:r>
        <w:rPr>
          <w:sz w:val="18"/>
          <w:szCs w:val="18"/>
        </w:rPr>
        <w:t>,</w:t>
      </w:r>
      <w:proofErr w:type="gramEnd"/>
      <w:r>
        <w:rPr>
          <w:sz w:val="18"/>
          <w:szCs w:val="18"/>
        </w:rPr>
        <w:t xml:space="preserve"> </w:t>
      </w:r>
      <w:r w:rsidRPr="009343EC">
        <w:t>Hasan M Alqatani</w:t>
      </w:r>
      <w:proofErr w:type="gramStart"/>
      <w:r w:rsidRPr="009343EC">
        <w:rPr>
          <w:vertAlign w:val="superscript"/>
        </w:rPr>
        <w:t>2</w:t>
      </w:r>
      <w:r>
        <w:rPr>
          <w:sz w:val="24"/>
          <w:szCs w:val="24"/>
          <w:vertAlign w:val="superscript"/>
        </w:rPr>
        <w:t xml:space="preserve"> </w:t>
      </w:r>
      <w:r>
        <w:rPr>
          <w:sz w:val="24"/>
          <w:szCs w:val="24"/>
          <w:vertAlign w:val="subscript"/>
        </w:rPr>
        <w:t>,</w:t>
      </w:r>
      <w:proofErr w:type="gramEnd"/>
      <w:r>
        <w:rPr>
          <w:sz w:val="24"/>
          <w:szCs w:val="24"/>
          <w:vertAlign w:val="subscript"/>
        </w:rPr>
        <w:t xml:space="preserve"> </w:t>
      </w:r>
      <w:r w:rsidRPr="009343EC">
        <w:t>Salema M Nouri</w:t>
      </w:r>
      <w:proofErr w:type="gramStart"/>
      <w:r>
        <w:rPr>
          <w:rFonts w:hint="cs"/>
          <w:vertAlign w:val="superscript"/>
          <w:rtl/>
        </w:rPr>
        <w:t>3</w:t>
      </w:r>
      <w:r w:rsidRPr="009343EC">
        <w:t xml:space="preserve">,  </w:t>
      </w:r>
      <w:r>
        <w:t>Ziyad</w:t>
      </w:r>
      <w:proofErr w:type="gramEnd"/>
      <w:r>
        <w:t xml:space="preserve"> M Elfaghi</w:t>
      </w:r>
      <w:r w:rsidRPr="009343EC">
        <w:t xml:space="preserve"> </w:t>
      </w:r>
      <w:r>
        <w:rPr>
          <w:rFonts w:hint="cs"/>
          <w:vertAlign w:val="superscript"/>
          <w:rtl/>
        </w:rPr>
        <w:t>4</w:t>
      </w:r>
      <w:r>
        <w:t>.</w:t>
      </w:r>
    </w:p>
    <w:p w14:paraId="601E74F7" w14:textId="77777777" w:rsidR="00042B5E" w:rsidRDefault="00042B5E" w:rsidP="00042B5E">
      <w:pPr>
        <w:rPr>
          <w:sz w:val="24"/>
          <w:szCs w:val="24"/>
          <w:vertAlign w:val="subscript"/>
        </w:rPr>
      </w:pPr>
      <w:r w:rsidRPr="00A83794">
        <w:rPr>
          <w:vertAlign w:val="superscript"/>
        </w:rPr>
        <w:t>1 2 3 4</w:t>
      </w:r>
      <w:r w:rsidRPr="00A83794">
        <w:rPr>
          <w:sz w:val="18"/>
          <w:szCs w:val="18"/>
        </w:rPr>
        <w:t xml:space="preserve"> </w:t>
      </w:r>
      <w:r w:rsidRPr="00155F73">
        <w:t>Faculty of Computer Technology and Information, Al-Salam International University</w:t>
      </w:r>
      <w:proofErr w:type="gramStart"/>
      <w:r w:rsidRPr="00155F73">
        <w:t>, ,</w:t>
      </w:r>
      <w:proofErr w:type="gramEnd"/>
      <w:r w:rsidRPr="00155F73">
        <w:t xml:space="preserve"> </w:t>
      </w:r>
      <w:proofErr w:type="gramStart"/>
      <w:r w:rsidRPr="00155F73">
        <w:t>Benghazi,  Libya</w:t>
      </w:r>
      <w:proofErr w:type="gramEnd"/>
    </w:p>
    <w:p w14:paraId="7925601F" w14:textId="77777777" w:rsidR="00042B5E" w:rsidRPr="00440037" w:rsidRDefault="00042B5E" w:rsidP="00042B5E">
      <w:pPr>
        <w:bidi/>
        <w:jc w:val="center"/>
        <w:rPr>
          <w:rFonts w:asciiTheme="majorBidi" w:hAnsiTheme="majorBidi" w:cstheme="majorBidi"/>
          <w:b/>
          <w:bCs/>
          <w:color w:val="9CC2E5" w:themeColor="accent1" w:themeTint="99"/>
          <w:sz w:val="24"/>
          <w:szCs w:val="24"/>
          <w:u w:val="single"/>
          <w:lang w:bidi="ar-LY"/>
        </w:rPr>
      </w:pPr>
      <w:r w:rsidRPr="00440037">
        <w:rPr>
          <w:rFonts w:asciiTheme="majorBidi" w:hAnsiTheme="majorBidi" w:cstheme="majorBidi" w:hint="cs"/>
          <w:b/>
          <w:bCs/>
          <w:color w:val="9CC2E5" w:themeColor="accent1" w:themeTint="99"/>
          <w:sz w:val="24"/>
          <w:szCs w:val="24"/>
          <w:u w:val="single"/>
          <w:rtl/>
          <w:lang w:bidi="ar-LY"/>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70409873" w14:textId="77777777" w:rsidR="00042B5E" w:rsidRPr="00A83794" w:rsidRDefault="00042B5E" w:rsidP="00042B5E">
      <w:pPr>
        <w:rPr>
          <w:sz w:val="24"/>
          <w:szCs w:val="24"/>
          <w:vertAlign w:val="subscript"/>
        </w:rPr>
      </w:pPr>
    </w:p>
    <w:p w14:paraId="7CD87C7B" w14:textId="0824254B" w:rsidR="00042B5E" w:rsidRPr="0011396C" w:rsidRDefault="00042B5E" w:rsidP="00042B5E">
      <w:pPr>
        <w:spacing w:after="120"/>
        <w:jc w:val="both"/>
        <w:rPr>
          <w:bCs/>
        </w:rPr>
      </w:pPr>
      <w:r w:rsidRPr="0011396C">
        <w:rPr>
          <w:b/>
          <w:bCs/>
          <w:i/>
          <w:szCs w:val="24"/>
        </w:rPr>
        <w:t>Abstract—</w:t>
      </w:r>
      <w:r>
        <w:rPr>
          <w:b/>
          <w:sz w:val="18"/>
        </w:rPr>
        <w:t xml:space="preserve"> </w:t>
      </w:r>
      <w:r w:rsidRPr="0011396C">
        <w:rPr>
          <w:bCs/>
        </w:rPr>
        <w:t>COVID-19 detection from chest radiological images remains challenging because its imaging patterns may overlap with pneumonia and normal lung variations. This paper presents a comparative transfer learning framework for automatic COVID-19 detection and Grad-CAM-based severity assessment using chest X-ray and CT images. Three pre-trained convolutional architectures—DenseNet-201, VGG-16, and Inception-v3—were modified and evaluated on two balanced datasets, DS_X9K and DS_CT9K, each containing 9,000 images equally distributed among COVID-19, pneumonia, and normal classes. Twelve models were investigated across both imaging modalities using two strategies: frozen feature extraction with trainable classification layers, and full fine-tuning of all network parameters. The results show that full fine-tuning achieved stronger and more stable performance, reaching up to 98% test accuracy on CXR images and approximately 99% on CT images. Grad-CAM heatmaps provided interpretable visual evidence by localizing disease-related lung regions and supporting visual severity assessment.</w:t>
      </w:r>
    </w:p>
    <w:p w14:paraId="182C85AE" w14:textId="77777777" w:rsidR="00042B5E" w:rsidRDefault="00042B5E" w:rsidP="00042B5E">
      <w:pPr>
        <w:spacing w:after="120"/>
        <w:jc w:val="both"/>
        <w:rPr>
          <w:b/>
          <w:sz w:val="18"/>
          <w:rtl/>
        </w:rPr>
      </w:pPr>
      <w:r w:rsidRPr="005E3A9D">
        <w:rPr>
          <w:b/>
          <w:sz w:val="18"/>
        </w:rPr>
        <w:t>Keywords: COVID-19, transfer learning, CXR, CT scan, Grad-CAM, severity assessment</w:t>
      </w:r>
    </w:p>
    <w:p w14:paraId="7F111596" w14:textId="77777777" w:rsidR="00042B5E" w:rsidRPr="00C53C8E" w:rsidRDefault="00042B5E" w:rsidP="00042B5E">
      <w:pPr>
        <w:spacing w:after="120"/>
        <w:rPr>
          <w:b/>
          <w:bCs/>
        </w:rPr>
      </w:pPr>
      <w:r w:rsidRPr="00C53C8E">
        <w:rPr>
          <w:b/>
          <w:bCs/>
        </w:rPr>
        <w:t>I. INTRODUCTION</w:t>
      </w:r>
    </w:p>
    <w:p w14:paraId="4D76103B" w14:textId="77777777" w:rsidR="00042B5E" w:rsidRPr="005E3A9D" w:rsidRDefault="00042B5E" w:rsidP="00042B5E">
      <w:pPr>
        <w:spacing w:after="80"/>
        <w:jc w:val="both"/>
      </w:pPr>
      <w:r>
        <w:rPr>
          <w:rFonts w:hint="cs"/>
          <w:rtl/>
        </w:rPr>
        <w:t xml:space="preserve">     </w:t>
      </w:r>
      <w:r w:rsidRPr="005E3A9D">
        <w:t>Coronavirus disease 2019 remains an important respiratory condition because its clinical and radiological manifestations can vary from mild respiratory symptoms to severe lung involvement. Although the emergency phase of the pandemic has decreased in many countries, reliable diagnostic support systems remain valuable, particularly in hospitals with limited radiology resources or high patient load. Early identification of infected cases supports triage, isolation, and monitoring, while assessing lung involvement can help clinicians understand disease progression and prioritize care.</w:t>
      </w:r>
    </w:p>
    <w:p w14:paraId="45598146" w14:textId="77777777" w:rsidR="00042B5E" w:rsidRDefault="00042B5E" w:rsidP="00042B5E">
      <w:pPr>
        <w:spacing w:after="80"/>
        <w:jc w:val="both"/>
      </w:pPr>
      <w:r w:rsidRPr="005E3A9D">
        <w:t xml:space="preserve">RT-PCR is commonly used to confirm SARS-CoV-2 infection; however, it is not a complete tool for evaluating pulmonary involvement. Its performance may be affected by sampling quality, viral load, laboratory availability, cost, and processing time. Fang et al. reported that chest CT showed higher </w:t>
      </w:r>
      <w:r w:rsidRPr="0011396C">
        <w:t>sensitivity than RT-PCR in their patient cohort, which supports the use of radiological imaging as an important complementary tool when clinical suspicion is high or laboratory results are delayed (Fang et al., 2020). Recent reviews also confirm that chest CT can support symptomatic patient assessment, although it should not replace laboratory confirmation because specificity varies across studies (Garcia et al., 2024).</w:t>
      </w:r>
    </w:p>
    <w:p w14:paraId="15C12C1B" w14:textId="77777777" w:rsidR="00042B5E" w:rsidRPr="005E3A9D" w:rsidRDefault="00042B5E" w:rsidP="00042B5E">
      <w:pPr>
        <w:spacing w:after="80"/>
        <w:jc w:val="both"/>
      </w:pPr>
      <w:r w:rsidRPr="005E3A9D">
        <w:t xml:space="preserve">Chest X-ray and CT imaging provide complementary diagnostic information. Chest X-ray is fast, inexpensive, and widely available, making it suitable for screening and triage. CT imaging provides more detailed </w:t>
      </w:r>
      <w:r w:rsidRPr="005E3A9D">
        <w:lastRenderedPageBreak/>
        <w:t xml:space="preserve">visualization of lung lesions, lesion distribution, and disease progression. COVID-19 may appear as ground-glass opacities, consolidation, bilateral lung involvement, and peripheral abnormalities. However, these findings are not fully specific to COVID-19 and may overlap with viral or bacterial pneumonia, making manual interpretation difficult, especially when radiological findings are subtle or when radiologists are under pressure </w:t>
      </w:r>
      <w:r w:rsidRPr="0011396C">
        <w:rPr>
          <w:bCs/>
        </w:rPr>
        <w:t>(Bernheim et al., 2020; Shi et al., 2020).</w:t>
      </w:r>
    </w:p>
    <w:p w14:paraId="2EC5BAD6" w14:textId="77777777" w:rsidR="00042B5E" w:rsidRDefault="00042B5E" w:rsidP="00042B5E">
      <w:pPr>
        <w:spacing w:after="80"/>
        <w:jc w:val="both"/>
      </w:pPr>
      <w:r w:rsidRPr="005E3A9D">
        <w:t>Deep learning has become a powerful approach for medical image classification because convolutional neural networks can learn discriminative visual patterns directly from image data. In COVID-19 imaging research, convolutional models have been applied to CXR and CT images for binary and multiclass classification. However, training deep networks from scratch requires large labeled datasets, high computational resources, and careful control of overfitting. These requirements are difficult in medical imaging because of patient privacy, limited annotated images, differences between imaging devices, and class imbalance.</w:t>
      </w:r>
    </w:p>
    <w:p w14:paraId="729D71F7" w14:textId="77777777" w:rsidR="00042B5E" w:rsidRPr="003760F0" w:rsidRDefault="00042B5E" w:rsidP="00042B5E">
      <w:pPr>
        <w:spacing w:after="80"/>
        <w:jc w:val="both"/>
      </w:pPr>
      <w:r w:rsidRPr="003760F0">
        <w:t xml:space="preserve">Transfer learning addresses these limitations by adapting models trained on large-scale image datasets to specialized medical imaging tasks. Instead of learning all features from the beginning, transfer learning reuses previously learned representations and fine-tunes them for a new classification problem (Pan &amp; Yang, 2010). Recent research confirms that Equations transfer learning remains highly relevant for COVID-19 diagnosis. El Houby proposed a chest X-ray transfer-learning framework using VGG19 and EfficientNetB0, reporting 0.95 accuracy for binary classification and 0.935 for four-class classification (El Houby, 2024). </w:t>
      </w:r>
      <w:proofErr w:type="spellStart"/>
      <w:r w:rsidRPr="003760F0">
        <w:t>Kordnoori</w:t>
      </w:r>
      <w:proofErr w:type="spellEnd"/>
      <w:r w:rsidRPr="003760F0">
        <w:t xml:space="preserve"> et al. proposed a CT-based deep learning framework and reported 89.00% accuracy, 0.95 sensitivity, 0.88 specificity, and 0.92 AUC (</w:t>
      </w:r>
      <w:proofErr w:type="spellStart"/>
      <w:r w:rsidRPr="003760F0">
        <w:t>Kordnoori</w:t>
      </w:r>
      <w:proofErr w:type="spellEnd"/>
      <w:r w:rsidRPr="003760F0">
        <w:t xml:space="preserve"> et al., 2025). </w:t>
      </w:r>
      <w:proofErr w:type="spellStart"/>
      <w:r w:rsidRPr="003760F0">
        <w:t>Lamouadene</w:t>
      </w:r>
      <w:proofErr w:type="spellEnd"/>
      <w:r w:rsidRPr="003760F0">
        <w:t xml:space="preserve"> et al. showed that transfer learning models such as </w:t>
      </w:r>
      <w:proofErr w:type="spellStart"/>
      <w:r w:rsidRPr="003760F0">
        <w:t>EfficientNet</w:t>
      </w:r>
      <w:proofErr w:type="spellEnd"/>
      <w:r w:rsidRPr="003760F0">
        <w:t xml:space="preserve">-CNN and </w:t>
      </w:r>
      <w:proofErr w:type="spellStart"/>
      <w:r w:rsidRPr="003760F0">
        <w:t>Xception</w:t>
      </w:r>
      <w:proofErr w:type="spellEnd"/>
      <w:r w:rsidRPr="003760F0">
        <w:t>-CNN achieved 99.20% and 98.80% accuracy for radiographic pulmonary disease classification, while also emphasizing dataset diversity</w:t>
      </w:r>
      <w:r w:rsidRPr="003760F0">
        <w:rPr>
          <w:i/>
          <w:iCs/>
        </w:rPr>
        <w:t xml:space="preserve"> </w:t>
      </w:r>
      <w:r w:rsidRPr="00890C85">
        <w:t>and representativeness as key limitations (</w:t>
      </w:r>
      <w:proofErr w:type="spellStart"/>
      <w:r w:rsidRPr="00890C85">
        <w:t>Lamouadene</w:t>
      </w:r>
      <w:proofErr w:type="spellEnd"/>
      <w:r w:rsidRPr="00890C85">
        <w:t xml:space="preserve"> et al., 2025).</w:t>
      </w:r>
    </w:p>
    <w:p w14:paraId="1D2A02D9" w14:textId="77777777" w:rsidR="00042B5E" w:rsidRPr="003760F0" w:rsidRDefault="00042B5E" w:rsidP="00042B5E">
      <w:pPr>
        <w:spacing w:line="276" w:lineRule="auto"/>
        <w:jc w:val="both"/>
      </w:pPr>
      <w:r w:rsidRPr="003760F0">
        <w:t>Interpretability is also essential in medical image analysis. A model with high accuracy but no explanation is limited in clinical usefulness because clinicians need to verify whether the decision is based on meaningful lung abnormalities. Grad-CAM provides class-discriminative heatmaps that highlight regions contributing to the model’s prediction (Selvaraju et al., 2017). In COVID-19 imaging, Grad-CAM can help verify whether the model focuses on lung regions rather than irrelevant artifacts, and it can support visual severity assessment by showing the extent and intensity of disease-related activation.</w:t>
      </w:r>
    </w:p>
    <w:p w14:paraId="6FBC0AE2" w14:textId="77777777" w:rsidR="00042B5E" w:rsidRDefault="00042B5E" w:rsidP="00042B5E">
      <w:pPr>
        <w:spacing w:line="276" w:lineRule="auto"/>
        <w:jc w:val="both"/>
      </w:pPr>
      <w:r w:rsidRPr="003760F0">
        <w:t>The datasets used in this paper were adopted from the previous work of Abubaker et al. (2023), which introduced DS_X9K for CXR images and DS_CT9K for CT images. Each dataset contains 9,000 images equally distributed among COVID-19, pneumonia, and normal classes, with 3,000 images per class and an 80/20 train-test split. This paper uses these datasets to evaluate the transfer learning models</w:t>
      </w:r>
      <w:r>
        <w:t>.</w:t>
      </w:r>
    </w:p>
    <w:p w14:paraId="1BFA67F4" w14:textId="77777777" w:rsidR="00042B5E" w:rsidRPr="005F0872" w:rsidRDefault="00042B5E" w:rsidP="00042B5E">
      <w:pPr>
        <w:spacing w:before="160" w:after="80"/>
        <w:rPr>
          <w:b/>
          <w:bCs/>
        </w:rPr>
      </w:pPr>
      <w:r w:rsidRPr="005F0872">
        <w:rPr>
          <w:b/>
          <w:bCs/>
        </w:rPr>
        <w:t>II. PROBLEM STATEMENT</w:t>
      </w:r>
    </w:p>
    <w:p w14:paraId="7072CC30" w14:textId="77777777" w:rsidR="00042B5E" w:rsidRPr="005E3A9D" w:rsidRDefault="00042B5E" w:rsidP="00042B5E">
      <w:pPr>
        <w:spacing w:after="80"/>
        <w:jc w:val="both"/>
      </w:pPr>
      <w:r w:rsidRPr="005E3A9D">
        <w:t>Although chest imaging is useful for supporting COVID-19 diagnosis, automatic classification remains challenging for three main reasons. First, COVID-19 radiological patterns overlap with pneumonia, especially in cases showing ground-glass opacities, consolidation, or diffuse lung involvement. This overlap increases the risk of misclassification between COVID-19 and non-COVID pneumonia.</w:t>
      </w:r>
    </w:p>
    <w:p w14:paraId="7F103163" w14:textId="77777777" w:rsidR="00042B5E" w:rsidRPr="00890C85" w:rsidRDefault="00042B5E" w:rsidP="00042B5E">
      <w:pPr>
        <w:spacing w:after="80"/>
        <w:jc w:val="both"/>
        <w:rPr>
          <w:bCs/>
        </w:rPr>
      </w:pPr>
      <w:r w:rsidRPr="005E3A9D">
        <w:t xml:space="preserve">Second, many previous studies reported high performance using small or imbalanced datasets. When COVID-19 samples are fewer than normal or pneumonia samples, models may learn dataset-specific artifacts rather than medically relevant lung patterns. Dataset diversity and representativeness remain major issues in recent pulmonary image classification research </w:t>
      </w:r>
      <w:r w:rsidRPr="00890C85">
        <w:rPr>
          <w:bCs/>
        </w:rPr>
        <w:t>(</w:t>
      </w:r>
      <w:proofErr w:type="spellStart"/>
      <w:r w:rsidRPr="00890C85">
        <w:rPr>
          <w:bCs/>
        </w:rPr>
        <w:t>Lamouadene</w:t>
      </w:r>
      <w:proofErr w:type="spellEnd"/>
      <w:r w:rsidRPr="00890C85">
        <w:rPr>
          <w:bCs/>
        </w:rPr>
        <w:t xml:space="preserve"> et al., 2025).</w:t>
      </w:r>
    </w:p>
    <w:p w14:paraId="2B43AF28" w14:textId="77777777" w:rsidR="00042B5E" w:rsidRPr="005E3A9D" w:rsidRDefault="00042B5E" w:rsidP="00042B5E">
      <w:pPr>
        <w:spacing w:after="80"/>
        <w:jc w:val="both"/>
      </w:pPr>
      <w:r w:rsidRPr="005E3A9D">
        <w:t xml:space="preserve">Third, transfer learning strategies are not always evaluated systematically. Some studies freeze the pre-trained feature extractor and train only the classifier, while others fine-tune all network parameters. These </w:t>
      </w:r>
      <w:r w:rsidRPr="005E3A9D">
        <w:lastRenderedPageBreak/>
        <w:t xml:space="preserve">strategies may behave differently across CXR and CT images and across architectures such as </w:t>
      </w:r>
      <w:proofErr w:type="spellStart"/>
      <w:r w:rsidRPr="005E3A9D">
        <w:t>DenseNet</w:t>
      </w:r>
      <w:proofErr w:type="spellEnd"/>
      <w:r w:rsidRPr="005E3A9D">
        <w:t>, VGG, and Inception.</w:t>
      </w:r>
    </w:p>
    <w:p w14:paraId="5EA365AD" w14:textId="77777777" w:rsidR="00042B5E" w:rsidRPr="005E3A9D" w:rsidRDefault="00042B5E" w:rsidP="00042B5E">
      <w:pPr>
        <w:spacing w:after="80"/>
        <w:jc w:val="both"/>
      </w:pPr>
      <w:r w:rsidRPr="005E3A9D">
        <w:t>A further issue is interpretability. A high-performance model is not sufficient for medical use unless the decision can be visually inspected. Grad-CAM can help address this limitation by showing which lung regions contributed to the prediction. Therefore, the central problem addressed in this paper is the lack of a balanced, modality-aware, and interpretable comparison of transfer learning approaches for COVID-19 detection from both CXR and CT images.</w:t>
      </w:r>
    </w:p>
    <w:p w14:paraId="3D807703" w14:textId="77777777" w:rsidR="00042B5E" w:rsidRDefault="00042B5E" w:rsidP="00042B5E">
      <w:pPr>
        <w:spacing w:before="160" w:after="80"/>
        <w:rPr>
          <w:b/>
          <w:bCs/>
        </w:rPr>
      </w:pPr>
    </w:p>
    <w:p w14:paraId="04628DC7" w14:textId="77777777" w:rsidR="00042B5E" w:rsidRDefault="00042B5E" w:rsidP="00042B5E">
      <w:pPr>
        <w:spacing w:before="160" w:after="80"/>
        <w:rPr>
          <w:b/>
          <w:bCs/>
        </w:rPr>
      </w:pPr>
      <w:r w:rsidRPr="00C53C8E">
        <w:rPr>
          <w:b/>
          <w:bCs/>
        </w:rPr>
        <w:t>III. AIMS AND OBJECTIVES</w:t>
      </w:r>
    </w:p>
    <w:p w14:paraId="53E5BD0B" w14:textId="77777777" w:rsidR="00042B5E" w:rsidRPr="009E0917" w:rsidRDefault="00042B5E" w:rsidP="00042B5E">
      <w:pPr>
        <w:spacing w:before="160" w:after="80"/>
        <w:rPr>
          <w:b/>
          <w:bCs/>
        </w:rPr>
      </w:pPr>
      <w:r w:rsidRPr="005E3A9D">
        <w:t>The aim of this paper is to evaluate different transfer learning approaches for automatic COVID-19 detection and Grad-CAM-based severity assessment using CXR and CT images.</w:t>
      </w:r>
    </w:p>
    <w:p w14:paraId="2F924037" w14:textId="77777777" w:rsidR="00042B5E" w:rsidRPr="005E3A9D" w:rsidRDefault="00042B5E" w:rsidP="00042B5E">
      <w:pPr>
        <w:spacing w:after="80"/>
        <w:jc w:val="both"/>
      </w:pPr>
      <w:r w:rsidRPr="005E3A9D">
        <w:t>1. Modify DenseNet-201, VGG-16, and Inception-v3 for three-class classification.</w:t>
      </w:r>
    </w:p>
    <w:p w14:paraId="18B64311" w14:textId="77777777" w:rsidR="00042B5E" w:rsidRPr="005E3A9D" w:rsidRDefault="00042B5E" w:rsidP="00042B5E">
      <w:pPr>
        <w:spacing w:after="80"/>
        <w:jc w:val="both"/>
      </w:pPr>
      <w:r w:rsidRPr="005E3A9D">
        <w:t>2. Build twelve transfer learning models: six for CXR and six for CT images.</w:t>
      </w:r>
    </w:p>
    <w:p w14:paraId="2337A8C9" w14:textId="77777777" w:rsidR="00042B5E" w:rsidRPr="005E3A9D" w:rsidRDefault="00042B5E" w:rsidP="00042B5E">
      <w:pPr>
        <w:spacing w:after="80"/>
        <w:jc w:val="both"/>
      </w:pPr>
      <w:r w:rsidRPr="005E3A9D">
        <w:t>3. Compare frozen-feature training with full-parameter fine-tuning.</w:t>
      </w:r>
    </w:p>
    <w:p w14:paraId="2952F70B" w14:textId="77777777" w:rsidR="00042B5E" w:rsidRPr="005E3A9D" w:rsidRDefault="00042B5E" w:rsidP="00042B5E">
      <w:pPr>
        <w:spacing w:after="80"/>
        <w:jc w:val="both"/>
      </w:pPr>
      <w:r w:rsidRPr="005E3A9D">
        <w:t>4. Evaluate the models using accuracy, precision, recall, F1-score, and confusion matrices.</w:t>
      </w:r>
    </w:p>
    <w:p w14:paraId="6EDC3A88" w14:textId="77777777" w:rsidR="00042B5E" w:rsidRDefault="00042B5E" w:rsidP="00042B5E">
      <w:pPr>
        <w:spacing w:after="80"/>
        <w:jc w:val="both"/>
        <w:rPr>
          <w:rtl/>
        </w:rPr>
      </w:pPr>
      <w:r w:rsidRPr="005E3A9D">
        <w:t>5. Use Grad-CAM to visually localize disease-related lung regions and support severity assessment.</w:t>
      </w:r>
    </w:p>
    <w:p w14:paraId="11BE75EF" w14:textId="77777777" w:rsidR="00042B5E" w:rsidRPr="005F0872" w:rsidRDefault="00042B5E" w:rsidP="00042B5E">
      <w:pPr>
        <w:spacing w:before="160" w:after="80"/>
        <w:rPr>
          <w:b/>
          <w:bCs/>
        </w:rPr>
      </w:pPr>
      <w:r w:rsidRPr="005F0872">
        <w:rPr>
          <w:b/>
          <w:bCs/>
        </w:rPr>
        <w:t>IV. RESEARCH CONTRIBUTIONS</w:t>
      </w:r>
    </w:p>
    <w:p w14:paraId="52BF157C" w14:textId="77777777" w:rsidR="00042B5E" w:rsidRPr="005E3A9D" w:rsidRDefault="00042B5E" w:rsidP="00042B5E">
      <w:pPr>
        <w:spacing w:after="80"/>
        <w:jc w:val="both"/>
      </w:pPr>
      <w:r w:rsidRPr="005E3A9D">
        <w:t>1. It presents a comparative transfer learning framework for COVID-19 detection from both CXR and CT images.</w:t>
      </w:r>
    </w:p>
    <w:p w14:paraId="07A810B7" w14:textId="77777777" w:rsidR="00042B5E" w:rsidRPr="005E3A9D" w:rsidRDefault="00042B5E" w:rsidP="00042B5E">
      <w:pPr>
        <w:spacing w:after="80"/>
        <w:jc w:val="both"/>
      </w:pPr>
      <w:r w:rsidRPr="005E3A9D">
        <w:t>2. It evaluates twelve modified models derived from DenseNet-201, VGG-16, and Inception-v3.</w:t>
      </w:r>
    </w:p>
    <w:p w14:paraId="5595E7B7" w14:textId="77777777" w:rsidR="00042B5E" w:rsidRPr="005E3A9D" w:rsidRDefault="00042B5E" w:rsidP="00042B5E">
      <w:pPr>
        <w:spacing w:after="80"/>
        <w:jc w:val="both"/>
      </w:pPr>
      <w:r w:rsidRPr="005E3A9D">
        <w:t>3. It compares two training strategies: frozen feature extraction and full fine-tuning.</w:t>
      </w:r>
    </w:p>
    <w:p w14:paraId="72E729E6" w14:textId="77777777" w:rsidR="00042B5E" w:rsidRPr="005E3A9D" w:rsidRDefault="00042B5E" w:rsidP="00042B5E">
      <w:pPr>
        <w:spacing w:after="80"/>
        <w:jc w:val="both"/>
      </w:pPr>
      <w:r w:rsidRPr="005E3A9D">
        <w:t>4. It uses two balanced datasets, each containing 9,000 images and three equally represented classes.</w:t>
      </w:r>
    </w:p>
    <w:p w14:paraId="293F5544" w14:textId="77777777" w:rsidR="00042B5E" w:rsidRPr="005E3A9D" w:rsidRDefault="00042B5E" w:rsidP="00042B5E">
      <w:pPr>
        <w:spacing w:after="80"/>
        <w:jc w:val="both"/>
      </w:pPr>
      <w:r w:rsidRPr="005E3A9D">
        <w:t>5. It integrates Grad-CAM to support interpretability and visual severity assessment.</w:t>
      </w:r>
    </w:p>
    <w:p w14:paraId="7DB6DD27" w14:textId="77777777" w:rsidR="00042B5E" w:rsidRDefault="00042B5E" w:rsidP="00042B5E">
      <w:pPr>
        <w:spacing w:after="80"/>
        <w:jc w:val="both"/>
      </w:pPr>
      <w:r w:rsidRPr="005E3A9D">
        <w:t>6. It compares the proposed models with recent and classical COVID-19 imaging studies.</w:t>
      </w:r>
    </w:p>
    <w:p w14:paraId="6B4F1DFF" w14:textId="77777777" w:rsidR="00042B5E" w:rsidRPr="005E3A9D" w:rsidRDefault="00042B5E" w:rsidP="00042B5E">
      <w:pPr>
        <w:spacing w:after="80"/>
        <w:jc w:val="both"/>
      </w:pPr>
    </w:p>
    <w:p w14:paraId="553EB127" w14:textId="77777777" w:rsidR="00042B5E" w:rsidRPr="00876754" w:rsidRDefault="00042B5E" w:rsidP="00042B5E">
      <w:pPr>
        <w:spacing w:after="80"/>
        <w:rPr>
          <w:b/>
          <w:bCs/>
        </w:rPr>
      </w:pPr>
      <w:r w:rsidRPr="00876754">
        <w:rPr>
          <w:b/>
          <w:bCs/>
        </w:rPr>
        <w:t>V. LITERATURE REVIEW</w:t>
      </w:r>
    </w:p>
    <w:p w14:paraId="611F0633" w14:textId="77777777" w:rsidR="00042B5E" w:rsidRDefault="00042B5E" w:rsidP="00042B5E">
      <w:pPr>
        <w:spacing w:after="80"/>
        <w:jc w:val="both"/>
      </w:pPr>
      <w:r w:rsidRPr="00876754">
        <w:rPr>
          <w:rFonts w:hint="cs"/>
          <w:rtl/>
        </w:rPr>
        <w:t xml:space="preserve">       </w:t>
      </w:r>
      <w:r w:rsidRPr="00876754">
        <w:t xml:space="preserve">Early COVID-19 imaging studies demonstrated the feasibility of using deep convolutional models for infection detection from chest radiographs. For example, Ozturk et al. developed </w:t>
      </w:r>
      <w:proofErr w:type="spellStart"/>
      <w:r w:rsidRPr="00876754">
        <w:t>DarkCovidNet</w:t>
      </w:r>
      <w:proofErr w:type="spellEnd"/>
      <w:r w:rsidRPr="00876754">
        <w:t xml:space="preserve"> and reported 98.08% accuracy for binary classification and 87.02% for three-class classification using CXR images (Ozturk et al., 2020). Similarly, Wang et al. introduced COVID-Net as one of the early tailored deep convolutional models for detecting COVID-19 from CXR images (Wang et al., 2020). </w:t>
      </w:r>
    </w:p>
    <w:p w14:paraId="7E3DB4FB" w14:textId="77777777" w:rsidR="00042B5E" w:rsidRPr="00876754" w:rsidRDefault="00042B5E" w:rsidP="00042B5E">
      <w:pPr>
        <w:spacing w:after="80"/>
        <w:jc w:val="both"/>
      </w:pPr>
      <w:r w:rsidRPr="00876754">
        <w:t xml:space="preserve">Although these studies were important in establishing the potential of automated COVID-19 screening, their reported performance should be interpreted carefully because many early datasets contained a limited number of COVID-19 samples or showed a clear imbalance between COVID-19, pneumonia, and normal classes. For instance, the reviewed literature shows that several CXR studies used relatively small COVID-19 classes, such as 125 COVID-19 images in </w:t>
      </w:r>
      <w:proofErr w:type="spellStart"/>
      <w:r w:rsidRPr="00876754">
        <w:t>DarkCovidNet</w:t>
      </w:r>
      <w:proofErr w:type="spellEnd"/>
      <w:r w:rsidRPr="00876754">
        <w:t xml:space="preserve">, 358 COVID-19 images in COVID-Net, and even smaller datasets in some early frameworks. Such imbalance can lead to optimistic accuracy values while reducing the ability of the model to generalize to unseen clinical data. </w:t>
      </w:r>
    </w:p>
    <w:p w14:paraId="2054F4F3" w14:textId="77777777" w:rsidR="00042B5E" w:rsidRPr="00876754" w:rsidRDefault="00042B5E" w:rsidP="00042B5E">
      <w:pPr>
        <w:spacing w:after="80" w:line="276" w:lineRule="auto"/>
        <w:jc w:val="both"/>
      </w:pPr>
      <w:r w:rsidRPr="00876754">
        <w:t xml:space="preserve">Transfer learning has therefore become a common solution in COVID-19 image classification because it reduces the need to train deep networks from scratch and allows pre-trained visual representations to be </w:t>
      </w:r>
      <w:r w:rsidRPr="00876754">
        <w:lastRenderedPageBreak/>
        <w:t xml:space="preserve">adapted to medical images. Architectures such as </w:t>
      </w:r>
      <w:proofErr w:type="spellStart"/>
      <w:r w:rsidRPr="00876754">
        <w:t>DenseNet</w:t>
      </w:r>
      <w:proofErr w:type="spellEnd"/>
      <w:r w:rsidRPr="00876754">
        <w:t xml:space="preserve">, VGG, </w:t>
      </w:r>
      <w:proofErr w:type="spellStart"/>
      <w:r w:rsidRPr="00876754">
        <w:t>ResNet</w:t>
      </w:r>
      <w:proofErr w:type="spellEnd"/>
      <w:r w:rsidRPr="00876754">
        <w:t xml:space="preserve">, Inception, </w:t>
      </w:r>
      <w:proofErr w:type="spellStart"/>
      <w:r w:rsidRPr="00876754">
        <w:t>Xception</w:t>
      </w:r>
      <w:proofErr w:type="spellEnd"/>
      <w:r w:rsidRPr="00876754">
        <w:t xml:space="preserve">, and </w:t>
      </w:r>
      <w:proofErr w:type="spellStart"/>
      <w:r w:rsidRPr="00876754">
        <w:t>EfficientNet</w:t>
      </w:r>
      <w:proofErr w:type="spellEnd"/>
      <w:r w:rsidRPr="00876754">
        <w:t xml:space="preserve"> have been widely used for CXR and CT classification. Recent studies confirm that transfer learning remains relevant beyond the early pandemic period. El Houby used VGG19 and EfficientNetB0 for CXR-based COVID-19 classification, while </w:t>
      </w:r>
      <w:proofErr w:type="spellStart"/>
      <w:r w:rsidRPr="00876754">
        <w:t>Kordnoori</w:t>
      </w:r>
      <w:proofErr w:type="spellEnd"/>
      <w:r w:rsidRPr="00876754">
        <w:t xml:space="preserve"> et al. proposed a CT-based deep learning framework for COVID-19 classification. </w:t>
      </w:r>
      <w:proofErr w:type="spellStart"/>
      <w:r w:rsidRPr="00876754">
        <w:t>Lamouadene</w:t>
      </w:r>
      <w:proofErr w:type="spellEnd"/>
      <w:r w:rsidRPr="00876754">
        <w:t xml:space="preserve"> et al. also investigated radiographic classification of COVID-19, lung opacity, and viral pneumonia using machine learning, deep learning, and transfer learning approaches (El Houby, 2024; </w:t>
      </w:r>
      <w:proofErr w:type="spellStart"/>
      <w:r w:rsidRPr="00876754">
        <w:t>Kordnoori</w:t>
      </w:r>
      <w:proofErr w:type="spellEnd"/>
      <w:r w:rsidRPr="00876754">
        <w:t xml:space="preserve"> et al., 2025; </w:t>
      </w:r>
      <w:proofErr w:type="spellStart"/>
      <w:r w:rsidRPr="00876754">
        <w:t>Lamouadene</w:t>
      </w:r>
      <w:proofErr w:type="spellEnd"/>
      <w:r w:rsidRPr="00876754">
        <w:t xml:space="preserve"> et al., 2025). However, despite their promising results, many transfer learning studies still focus on either CXR or CT images separately, rather than evaluating both modalities within the same experimental framework. </w:t>
      </w:r>
    </w:p>
    <w:p w14:paraId="7645DA2D" w14:textId="77777777" w:rsidR="00042B5E" w:rsidRPr="00876754" w:rsidRDefault="00042B5E" w:rsidP="00042B5E">
      <w:pPr>
        <w:spacing w:after="80" w:line="276" w:lineRule="auto"/>
        <w:jc w:val="both"/>
      </w:pPr>
      <w:r w:rsidRPr="00876754">
        <w:t>A critical review of the literature reveals several methodological limitations. First, a large portion of previous work focused on binary classification, such as COVID-19 versus normal, which is clinically less challenging than distinguishing COVID-19 from pneumonia and normal cases. Second, some studies reported high accuracy while using datasets in which COVID-19 images were much fewer than other classes, making accuracy alone insufficient as a reliable performance indicator. Third, several studies used data augmentation to compensate for limited samples, but augmentation cannot fully replace real diversity in patient populations, imaging devices, and acquisition protocols. Fourth, few studies systematically compared two transfer learning strategies: freezing the pre-trained feature extractor versus fine-tuning all model parameters. This gap is important because the behavior of transfer learning models can vary considerably depending on whether the model is used as a fixed feature extractor or fully adapted to the target medical dataset.</w:t>
      </w:r>
    </w:p>
    <w:p w14:paraId="70CFF09F" w14:textId="77777777" w:rsidR="00042B5E" w:rsidRPr="00876754" w:rsidRDefault="00042B5E" w:rsidP="00042B5E">
      <w:pPr>
        <w:spacing w:after="80"/>
        <w:jc w:val="both"/>
      </w:pPr>
      <w:r w:rsidRPr="00876754">
        <w:t xml:space="preserve">CT-based studies also show strong potential but have similar limitations. Some works achieved high performance using </w:t>
      </w:r>
      <w:proofErr w:type="spellStart"/>
      <w:r w:rsidRPr="00876754">
        <w:t>DenseNet</w:t>
      </w:r>
      <w:proofErr w:type="spellEnd"/>
      <w:r w:rsidRPr="00876754">
        <w:t xml:space="preserve">, </w:t>
      </w:r>
      <w:proofErr w:type="spellStart"/>
      <w:r w:rsidRPr="00876754">
        <w:t>ResNet</w:t>
      </w:r>
      <w:proofErr w:type="spellEnd"/>
      <w:r w:rsidRPr="00876754">
        <w:t xml:space="preserve">, VGG, </w:t>
      </w:r>
      <w:proofErr w:type="spellStart"/>
      <w:r w:rsidRPr="00876754">
        <w:t>Xception</w:t>
      </w:r>
      <w:proofErr w:type="spellEnd"/>
      <w:r w:rsidRPr="00876754">
        <w:t xml:space="preserve">, or hybrid frameworks; however, several of them relied on binary classification or relatively small CT datasets. Other studies included pneumonia as a third class, which is more clinically relevant, but still lacked balanced evaluation across both CT and CXR modalities. The reviewed project literature specifically notes that fewer studies jointly used CXR and CT images because building two sufficiently large and reliable datasets is difficult. This supports the motivation of the present paper, which uses two balanced datasets, DS_X9K and DS_CT9K, and evaluates the same transfer learning architectures across both imaging modalities. </w:t>
      </w:r>
    </w:p>
    <w:p w14:paraId="744F02C3" w14:textId="77777777" w:rsidR="00042B5E" w:rsidRPr="00876754" w:rsidRDefault="00042B5E" w:rsidP="00042B5E">
      <w:pPr>
        <w:spacing w:after="80"/>
        <w:jc w:val="both"/>
      </w:pPr>
      <w:r w:rsidRPr="00876754">
        <w:t>Explainability has also become an essential requirement in medical image classification. High numerical accuracy is not sufficient if the model does not provide visual evidence supporting its decision. Grad-CAM is widely used to highlight the regions that contribute most strongly to model predictions (Selvaraju et al., 2017). In COVID-19 diagnosis, Grad-CAM can help verify whether the model focuses on lung abnormalities rather than irrelevant image artifacts. Nevertheless, in many previous studies, Grad-CAM was used only as a qualitative visualization tool without being integrated into the overall discussion of severity assessment. Therefore, the present paper combines quantitative evaluation metrics with Grad-CAM visualization to support both classification performance and interpretable severity-related analysis.</w:t>
      </w:r>
    </w:p>
    <w:p w14:paraId="1629EE8D" w14:textId="77777777" w:rsidR="00042B5E" w:rsidRDefault="00042B5E" w:rsidP="00042B5E">
      <w:pPr>
        <w:spacing w:after="80"/>
        <w:jc w:val="both"/>
      </w:pPr>
      <w:r w:rsidRPr="00876754">
        <w:t>Based on this review, the main research gap can be summarized as follows: previous studies have demonstrated the usefulness of deep learning and transfer learning for COVID-19 detection, but many were limited by small or imbalanced datasets, single-modality evaluation, binary classification settings, limited comparison between training strategies, or insufficient interpretability analysis. The present paper addresses these limitations by comparing twelve modified transfer learning models derived from DenseNet-201, VGG-16, and Inception-v3 across both CXR and CT images, using balanced three-class datasets and Grad-CAM-based visual interpretation.</w:t>
      </w:r>
    </w:p>
    <w:p w14:paraId="61B14680" w14:textId="77777777" w:rsidR="00042B5E" w:rsidRPr="005E3A9D" w:rsidRDefault="00042B5E" w:rsidP="00042B5E">
      <w:pPr>
        <w:spacing w:after="80"/>
        <w:rPr>
          <w:b/>
          <w:bCs/>
        </w:rPr>
      </w:pPr>
      <w:r w:rsidRPr="005E3A9D">
        <w:rPr>
          <w:b/>
          <w:bCs/>
        </w:rPr>
        <w:t>VI. PROPOSED METHODOLOGY</w:t>
      </w:r>
    </w:p>
    <w:p w14:paraId="68EA8DF0" w14:textId="77777777" w:rsidR="00042B5E" w:rsidRPr="005E3A9D" w:rsidRDefault="00042B5E" w:rsidP="00042B5E">
      <w:pPr>
        <w:spacing w:line="276" w:lineRule="auto"/>
        <w:jc w:val="both"/>
      </w:pPr>
      <w:r>
        <w:rPr>
          <w:rFonts w:hint="cs"/>
          <w:rtl/>
        </w:rPr>
        <w:lastRenderedPageBreak/>
        <w:t xml:space="preserve">     </w:t>
      </w:r>
      <w:r w:rsidRPr="005E3A9D">
        <w:t>The proposed methodology consists of five stages: dataset preparation, preprocessing, model modification, training and evaluation, and Grad-CAM-based interpretation.</w:t>
      </w:r>
    </w:p>
    <w:p w14:paraId="0954308B" w14:textId="77777777" w:rsidR="00042B5E" w:rsidRPr="005E3A9D" w:rsidRDefault="00042B5E" w:rsidP="00042B5E">
      <w:pPr>
        <w:spacing w:after="100" w:afterAutospacing="1" w:line="276" w:lineRule="auto"/>
        <w:jc w:val="both"/>
      </w:pPr>
      <w:r w:rsidRPr="005E3A9D">
        <w:t xml:space="preserve">Two balanced datasets are used. DS_X9K contains 9,000 CXR images divided equally into COVID-19, pneumonia, and normal classes. DS_CT9K contains 9,000 CT images with the same class distribution. Each dataset contains 3,000 images per class and is divided into 80% training and 20% testing, producing 7,200 training images and 1,800 testing images for each modality. The project files state that DS_X9K was collected from multiple open sources including TCIA, </w:t>
      </w:r>
      <w:proofErr w:type="spellStart"/>
      <w:r w:rsidRPr="005E3A9D">
        <w:t>CheXpert</w:t>
      </w:r>
      <w:proofErr w:type="spellEnd"/>
      <w:r w:rsidRPr="005E3A9D">
        <w:t xml:space="preserve">, NIH, radiology society sources, and public pneumonia/COVID-19 repositories; DS_CT9K was compiled from public CT sources including TCIA, radiology sources, COVID-CT, SARS-CoV-2 CT-scan, </w:t>
      </w:r>
      <w:proofErr w:type="spellStart"/>
      <w:r w:rsidRPr="005E3A9D">
        <w:t>MosMedData</w:t>
      </w:r>
      <w:proofErr w:type="spellEnd"/>
      <w:r w:rsidRPr="005E3A9D">
        <w:t>, and COVID-CT-MD-related sources.</w:t>
      </w:r>
    </w:p>
    <w:p w14:paraId="7DD6FDBD" w14:textId="77777777" w:rsidR="00042B5E" w:rsidRPr="005E3A9D" w:rsidRDefault="00042B5E" w:rsidP="00042B5E">
      <w:pPr>
        <w:jc w:val="both"/>
      </w:pPr>
      <w:r w:rsidRPr="005E3A9D">
        <w:t>All images are resized to 224 × 224 × 3 and normalized to the range [0, 1]. Data augmentation is applied only to training images using rotation, zooming, and shearing. Testing images are not augmented to maintain unbiased evaluation. Labels are encoded into three classes: COVID-19, pneumonia, and normal.</w:t>
      </w:r>
    </w:p>
    <w:p w14:paraId="3BD1332C" w14:textId="77777777" w:rsidR="00042B5E" w:rsidRPr="005E3A9D" w:rsidRDefault="00042B5E" w:rsidP="00042B5E">
      <w:pPr>
        <w:spacing w:after="100" w:afterAutospacing="1"/>
        <w:jc w:val="both"/>
      </w:pPr>
      <w:r w:rsidRPr="005E3A9D">
        <w:t>Three pre-trained CNN architectures are selected: DenseNet-201, VGG-16, and Inception-v3. These architectures were chosen because they represent different feature-learning mechanisms: DenseNet-201 uses dense connectivity and feature reuse, VGG-16 uses a simple and deep stack of convolutional layers, and Inception-v3 extracts multi-scale features through inception modules. The dissertation explains these architectures and identifies them as state-of-the-art pre-trained CNN models suitable for transfer learning.</w:t>
      </w:r>
    </w:p>
    <w:p w14:paraId="63A4EE08" w14:textId="77777777" w:rsidR="00042B5E" w:rsidRPr="005E3A9D" w:rsidRDefault="00042B5E" w:rsidP="00042B5E">
      <w:pPr>
        <w:jc w:val="both"/>
      </w:pPr>
      <w:r w:rsidRPr="005E3A9D">
        <w:t>For each architecture, the original classification layer is removed and replaced with a new three-class classification head. Two training strategies are then used. In the first strategy, the convolutional feature extraction layers are frozen and only the newly added classification layers are trained. These models are named M-DenseNet-201, M-VGG-16, and M-Inception-v3. In the second strategy, all network parameters are trained after modification. These models are named EM-DenseNet-201, EM-VGG-16, and EM-Inception-v3. Applying these six models to both DS_X9K and DS_CT9K results in twelve transfer learning models.</w:t>
      </w:r>
    </w:p>
    <w:p w14:paraId="494C9AF2" w14:textId="77777777" w:rsidR="00042B5E" w:rsidRDefault="00042B5E" w:rsidP="00042B5E">
      <w:pPr>
        <w:spacing w:after="80"/>
        <w:jc w:val="both"/>
      </w:pPr>
    </w:p>
    <w:p w14:paraId="1AE1214A" w14:textId="23FD591C" w:rsidR="00042B5E" w:rsidRDefault="00042B5E" w:rsidP="00042B5E">
      <w:pPr>
        <w:spacing w:after="80"/>
        <w:rPr>
          <w:b/>
          <w:bCs/>
          <w:sz w:val="16"/>
        </w:rPr>
      </w:pPr>
      <w:r w:rsidRPr="000605EF">
        <w:rPr>
          <w:noProof/>
        </w:rPr>
        <w:drawing>
          <wp:anchor distT="0" distB="0" distL="114300" distR="114300" simplePos="0" relativeHeight="251659264" behindDoc="0" locked="0" layoutInCell="1" allowOverlap="1" wp14:anchorId="62E0DBBF" wp14:editId="56E3DB43">
            <wp:simplePos x="0" y="0"/>
            <wp:positionH relativeFrom="column">
              <wp:posOffset>-162560</wp:posOffset>
            </wp:positionH>
            <wp:positionV relativeFrom="page">
              <wp:posOffset>6406515</wp:posOffset>
            </wp:positionV>
            <wp:extent cx="3474085" cy="2320925"/>
            <wp:effectExtent l="0" t="0" r="0" b="3175"/>
            <wp:wrapSquare wrapText="bothSides"/>
            <wp:docPr id="426639038"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4085" cy="2320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B00A1">
        <w:rPr>
          <w:b/>
          <w:bCs/>
          <w:sz w:val="16"/>
        </w:rPr>
        <w:t>TABLE I. DATASET DESCRIPTION AND MAIN SOURCES</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815"/>
        <w:gridCol w:w="800"/>
        <w:gridCol w:w="899"/>
        <w:gridCol w:w="658"/>
        <w:gridCol w:w="657"/>
        <w:gridCol w:w="1367"/>
      </w:tblGrid>
      <w:tr w:rsidR="00042B5E" w14:paraId="6EAFB7B9" w14:textId="77777777" w:rsidTr="00EC19F3">
        <w:trPr>
          <w:trHeight w:val="614"/>
        </w:trPr>
        <w:tc>
          <w:tcPr>
            <w:tcW w:w="815" w:type="dxa"/>
            <w:vAlign w:val="center"/>
          </w:tcPr>
          <w:p w14:paraId="49C6D286" w14:textId="77777777" w:rsidR="00042B5E" w:rsidRDefault="00042B5E" w:rsidP="00EC19F3">
            <w:r w:rsidRPr="00080BC7">
              <w:rPr>
                <w:b/>
                <w:sz w:val="15"/>
              </w:rPr>
              <w:t>Dataset</w:t>
            </w:r>
          </w:p>
        </w:tc>
        <w:tc>
          <w:tcPr>
            <w:tcW w:w="800" w:type="dxa"/>
            <w:vAlign w:val="center"/>
          </w:tcPr>
          <w:p w14:paraId="6B8732D2" w14:textId="77777777" w:rsidR="00042B5E" w:rsidRDefault="00042B5E" w:rsidP="00EC19F3">
            <w:r w:rsidRPr="00080BC7">
              <w:rPr>
                <w:b/>
                <w:sz w:val="15"/>
              </w:rPr>
              <w:t>Modality</w:t>
            </w:r>
          </w:p>
        </w:tc>
        <w:tc>
          <w:tcPr>
            <w:tcW w:w="881" w:type="dxa"/>
            <w:vAlign w:val="center"/>
          </w:tcPr>
          <w:p w14:paraId="3CB5A1D1" w14:textId="77777777" w:rsidR="00042B5E" w:rsidRDefault="00042B5E" w:rsidP="00EC19F3">
            <w:r w:rsidRPr="00080BC7">
              <w:rPr>
                <w:b/>
                <w:sz w:val="15"/>
              </w:rPr>
              <w:t>Classes</w:t>
            </w:r>
          </w:p>
        </w:tc>
        <w:tc>
          <w:tcPr>
            <w:tcW w:w="658" w:type="dxa"/>
            <w:vAlign w:val="center"/>
          </w:tcPr>
          <w:p w14:paraId="1F0DAEC3" w14:textId="77777777" w:rsidR="00042B5E" w:rsidRDefault="00042B5E" w:rsidP="00EC19F3">
            <w:r w:rsidRPr="00080BC7">
              <w:rPr>
                <w:b/>
                <w:sz w:val="15"/>
              </w:rPr>
              <w:t>Total images</w:t>
            </w:r>
          </w:p>
        </w:tc>
        <w:tc>
          <w:tcPr>
            <w:tcW w:w="652" w:type="dxa"/>
            <w:vAlign w:val="center"/>
          </w:tcPr>
          <w:p w14:paraId="6AF62E87" w14:textId="77777777" w:rsidR="00042B5E" w:rsidRDefault="00042B5E" w:rsidP="00EC19F3">
            <w:r w:rsidRPr="00080BC7">
              <w:rPr>
                <w:b/>
                <w:sz w:val="15"/>
              </w:rPr>
              <w:t>Split</w:t>
            </w:r>
          </w:p>
        </w:tc>
        <w:tc>
          <w:tcPr>
            <w:tcW w:w="1367" w:type="dxa"/>
            <w:vAlign w:val="center"/>
          </w:tcPr>
          <w:p w14:paraId="0163DA06" w14:textId="77777777" w:rsidR="00042B5E" w:rsidRDefault="00042B5E" w:rsidP="00EC19F3">
            <w:r w:rsidRPr="00080BC7">
              <w:rPr>
                <w:b/>
                <w:sz w:val="15"/>
              </w:rPr>
              <w:t>Main public source groups</w:t>
            </w:r>
          </w:p>
        </w:tc>
      </w:tr>
      <w:tr w:rsidR="00042B5E" w14:paraId="796F4C3B" w14:textId="77777777" w:rsidTr="00EC19F3">
        <w:trPr>
          <w:trHeight w:val="1469"/>
        </w:trPr>
        <w:tc>
          <w:tcPr>
            <w:tcW w:w="815" w:type="dxa"/>
            <w:vAlign w:val="center"/>
          </w:tcPr>
          <w:p w14:paraId="6628201A" w14:textId="77777777" w:rsidR="00042B5E" w:rsidRDefault="00042B5E" w:rsidP="00EC19F3">
            <w:r w:rsidRPr="00080BC7">
              <w:rPr>
                <w:sz w:val="14"/>
              </w:rPr>
              <w:lastRenderedPageBreak/>
              <w:t>DS_X9K</w:t>
            </w:r>
          </w:p>
        </w:tc>
        <w:tc>
          <w:tcPr>
            <w:tcW w:w="800" w:type="dxa"/>
            <w:vAlign w:val="center"/>
          </w:tcPr>
          <w:p w14:paraId="2C648067" w14:textId="77777777" w:rsidR="00042B5E" w:rsidRDefault="00042B5E" w:rsidP="00EC19F3">
            <w:r w:rsidRPr="00080BC7">
              <w:rPr>
                <w:sz w:val="14"/>
              </w:rPr>
              <w:t>CXR</w:t>
            </w:r>
          </w:p>
        </w:tc>
        <w:tc>
          <w:tcPr>
            <w:tcW w:w="881" w:type="dxa"/>
            <w:vAlign w:val="center"/>
          </w:tcPr>
          <w:p w14:paraId="269ECC08" w14:textId="77777777" w:rsidR="00042B5E" w:rsidRDefault="00042B5E" w:rsidP="00EC19F3">
            <w:r w:rsidRPr="00080BC7">
              <w:rPr>
                <w:sz w:val="14"/>
              </w:rPr>
              <w:t>COVID-19, Pneumonia, Normal</w:t>
            </w:r>
          </w:p>
        </w:tc>
        <w:tc>
          <w:tcPr>
            <w:tcW w:w="658" w:type="dxa"/>
            <w:vAlign w:val="center"/>
          </w:tcPr>
          <w:p w14:paraId="350615DD" w14:textId="77777777" w:rsidR="00042B5E" w:rsidRDefault="00042B5E" w:rsidP="00EC19F3">
            <w:r w:rsidRPr="00080BC7">
              <w:rPr>
                <w:sz w:val="14"/>
              </w:rPr>
              <w:t>9,000</w:t>
            </w:r>
          </w:p>
        </w:tc>
        <w:tc>
          <w:tcPr>
            <w:tcW w:w="652" w:type="dxa"/>
            <w:vAlign w:val="center"/>
          </w:tcPr>
          <w:p w14:paraId="458199A6" w14:textId="77777777" w:rsidR="00042B5E" w:rsidRDefault="00042B5E" w:rsidP="00EC19F3">
            <w:r w:rsidRPr="00080BC7">
              <w:rPr>
                <w:sz w:val="14"/>
              </w:rPr>
              <w:t>80% training / 20% testing</w:t>
            </w:r>
          </w:p>
        </w:tc>
        <w:tc>
          <w:tcPr>
            <w:tcW w:w="1367" w:type="dxa"/>
            <w:vAlign w:val="center"/>
          </w:tcPr>
          <w:p w14:paraId="17F05165" w14:textId="77777777" w:rsidR="00042B5E" w:rsidRDefault="00042B5E" w:rsidP="00EC19F3">
            <w:r w:rsidRPr="00080BC7">
              <w:rPr>
                <w:sz w:val="14"/>
              </w:rPr>
              <w:t xml:space="preserve">TCIA, </w:t>
            </w:r>
            <w:proofErr w:type="spellStart"/>
            <w:r w:rsidRPr="00080BC7">
              <w:rPr>
                <w:sz w:val="14"/>
              </w:rPr>
              <w:t>CheXpert</w:t>
            </w:r>
            <w:proofErr w:type="spellEnd"/>
            <w:r w:rsidRPr="00080BC7">
              <w:rPr>
                <w:sz w:val="14"/>
              </w:rPr>
              <w:t xml:space="preserve">, NIH, RSNA/radiology sources, </w:t>
            </w:r>
            <w:proofErr w:type="spellStart"/>
            <w:r w:rsidRPr="00080BC7">
              <w:rPr>
                <w:sz w:val="14"/>
              </w:rPr>
              <w:t>Radiopaedia</w:t>
            </w:r>
            <w:proofErr w:type="spellEnd"/>
            <w:r w:rsidRPr="00080BC7">
              <w:rPr>
                <w:sz w:val="14"/>
              </w:rPr>
              <w:t>, Kaggle pneumonia/COVID-19 repositories</w:t>
            </w:r>
          </w:p>
        </w:tc>
      </w:tr>
      <w:tr w:rsidR="00042B5E" w14:paraId="6119F389" w14:textId="77777777" w:rsidTr="00EC19F3">
        <w:trPr>
          <w:trHeight w:val="1433"/>
        </w:trPr>
        <w:tc>
          <w:tcPr>
            <w:tcW w:w="815" w:type="dxa"/>
            <w:vAlign w:val="center"/>
          </w:tcPr>
          <w:p w14:paraId="3DCC6AA5" w14:textId="77777777" w:rsidR="00042B5E" w:rsidRDefault="00042B5E" w:rsidP="00EC19F3">
            <w:r w:rsidRPr="00080BC7">
              <w:rPr>
                <w:sz w:val="14"/>
              </w:rPr>
              <w:t>DS_CT9K</w:t>
            </w:r>
          </w:p>
        </w:tc>
        <w:tc>
          <w:tcPr>
            <w:tcW w:w="800" w:type="dxa"/>
            <w:vAlign w:val="center"/>
          </w:tcPr>
          <w:p w14:paraId="6624157B" w14:textId="77777777" w:rsidR="00042B5E" w:rsidRDefault="00042B5E" w:rsidP="00EC19F3">
            <w:r w:rsidRPr="00080BC7">
              <w:rPr>
                <w:sz w:val="14"/>
              </w:rPr>
              <w:t>CT</w:t>
            </w:r>
          </w:p>
        </w:tc>
        <w:tc>
          <w:tcPr>
            <w:tcW w:w="881" w:type="dxa"/>
            <w:vAlign w:val="center"/>
          </w:tcPr>
          <w:p w14:paraId="1158EBD9" w14:textId="77777777" w:rsidR="00042B5E" w:rsidRDefault="00042B5E" w:rsidP="00EC19F3">
            <w:r w:rsidRPr="00080BC7">
              <w:rPr>
                <w:sz w:val="14"/>
              </w:rPr>
              <w:t>COVID-19, Pneumonia, Normal</w:t>
            </w:r>
          </w:p>
        </w:tc>
        <w:tc>
          <w:tcPr>
            <w:tcW w:w="658" w:type="dxa"/>
            <w:vAlign w:val="center"/>
          </w:tcPr>
          <w:p w14:paraId="1B5CA758" w14:textId="77777777" w:rsidR="00042B5E" w:rsidRDefault="00042B5E" w:rsidP="00EC19F3">
            <w:r w:rsidRPr="00080BC7">
              <w:rPr>
                <w:sz w:val="14"/>
              </w:rPr>
              <w:t>9,000</w:t>
            </w:r>
          </w:p>
        </w:tc>
        <w:tc>
          <w:tcPr>
            <w:tcW w:w="652" w:type="dxa"/>
            <w:vAlign w:val="center"/>
          </w:tcPr>
          <w:p w14:paraId="4C8CA7B2" w14:textId="77777777" w:rsidR="00042B5E" w:rsidRDefault="00042B5E" w:rsidP="00EC19F3">
            <w:r w:rsidRPr="00080BC7">
              <w:rPr>
                <w:sz w:val="14"/>
              </w:rPr>
              <w:t>80% training / 20% testing</w:t>
            </w:r>
          </w:p>
        </w:tc>
        <w:tc>
          <w:tcPr>
            <w:tcW w:w="1367" w:type="dxa"/>
            <w:vAlign w:val="center"/>
          </w:tcPr>
          <w:p w14:paraId="4B0A3181" w14:textId="77777777" w:rsidR="00042B5E" w:rsidRDefault="00042B5E" w:rsidP="00EC19F3">
            <w:r w:rsidRPr="00080BC7">
              <w:rPr>
                <w:sz w:val="14"/>
              </w:rPr>
              <w:t xml:space="preserve">TCIA, radiology society sources, COVID-CT, SARS-CoV-2 CT-scan, </w:t>
            </w:r>
            <w:proofErr w:type="spellStart"/>
            <w:r w:rsidRPr="00080BC7">
              <w:rPr>
                <w:sz w:val="14"/>
              </w:rPr>
              <w:t>MosMedData</w:t>
            </w:r>
            <w:proofErr w:type="spellEnd"/>
            <w:r w:rsidRPr="00080BC7">
              <w:rPr>
                <w:sz w:val="14"/>
              </w:rPr>
              <w:t>, COVID-CT-MD-related sources</w:t>
            </w:r>
          </w:p>
        </w:tc>
      </w:tr>
    </w:tbl>
    <w:p w14:paraId="3BA0A829" w14:textId="77777777" w:rsidR="00042B5E" w:rsidRPr="000605EF" w:rsidRDefault="00042B5E" w:rsidP="00042B5E">
      <w:pPr>
        <w:spacing w:before="40" w:after="140"/>
        <w:rPr>
          <w:b/>
          <w:bCs/>
          <w:sz w:val="18"/>
          <w:szCs w:val="24"/>
        </w:rPr>
      </w:pPr>
      <w:r w:rsidRPr="000605EF">
        <w:rPr>
          <w:sz w:val="18"/>
          <w:szCs w:val="24"/>
        </w:rPr>
        <w:t>Fig. 1. Proposed comparative transfer learning framework for COVID-19 detection and Grad-CAM-based severity assessment</w:t>
      </w:r>
      <w:r>
        <w:rPr>
          <w:b/>
          <w:bCs/>
          <w:sz w:val="18"/>
          <w:szCs w:val="24"/>
        </w:rPr>
        <w:t>.</w:t>
      </w:r>
    </w:p>
    <w:p w14:paraId="1D5FFB1F" w14:textId="77777777" w:rsidR="00042B5E" w:rsidRPr="00C85C66" w:rsidRDefault="00042B5E" w:rsidP="00042B5E">
      <w:pPr>
        <w:spacing w:before="160" w:after="80" w:line="276" w:lineRule="auto"/>
        <w:rPr>
          <w:rFonts w:eastAsia="Times New Roman" w:cs="Arial"/>
          <w:b/>
          <w:bCs/>
        </w:rPr>
      </w:pPr>
      <w:r w:rsidRPr="00C85C66">
        <w:rPr>
          <w:rFonts w:eastAsia="Times New Roman" w:cs="Arial"/>
          <w:b/>
          <w:bCs/>
        </w:rPr>
        <w:t>VII. EXPERIMENTAL RESULTS AND DISCUSSION</w:t>
      </w:r>
    </w:p>
    <w:p w14:paraId="0631A005" w14:textId="77777777" w:rsidR="00042B5E" w:rsidRPr="00C85C66" w:rsidRDefault="00042B5E" w:rsidP="00042B5E">
      <w:pPr>
        <w:spacing w:after="60"/>
        <w:ind w:firstLine="259"/>
        <w:jc w:val="both"/>
        <w:rPr>
          <w:rFonts w:eastAsia="Times New Roman" w:cs="Arial"/>
        </w:rPr>
      </w:pPr>
      <w:r w:rsidRPr="00C85C66">
        <w:rPr>
          <w:rFonts w:eastAsia="Times New Roman" w:cs="Arial"/>
        </w:rPr>
        <w:t xml:space="preserve">The results show that training strategy strongly affects model behavior. On the DS_X9K CXR dataset, M-DenseNet-201 achieved the best result among frozen-feature models with 94% test accuracy. M-VGG-16 achieved 90%, while M-Inception-v3 achieved 86%, indicating that frozen feature extraction was not sufficient for all architectures. When full fine-tuning was applied, performance improved. EM-DenseNet-201 achieved 98% test accuracy and the strongest F1-scores for COVID-19 and normal classes. The project discussion reports that EM-DenseNet-201 reached 100% training accuracy, 98% test accuracy, and 99% F1-score </w:t>
      </w:r>
      <w:proofErr w:type="gramStart"/>
      <w:r w:rsidRPr="00C85C66">
        <w:rPr>
          <w:rFonts w:eastAsia="Times New Roman" w:cs="Arial"/>
        </w:rPr>
        <w:t xml:space="preserve">for </w:t>
      </w:r>
      <w:r>
        <w:rPr>
          <w:rFonts w:eastAsia="Times New Roman" w:cs="Arial"/>
        </w:rPr>
        <w:t xml:space="preserve"> </w:t>
      </w:r>
      <w:r w:rsidRPr="00C85C66">
        <w:rPr>
          <w:rFonts w:eastAsia="Times New Roman" w:cs="Arial"/>
        </w:rPr>
        <w:t>both</w:t>
      </w:r>
      <w:proofErr w:type="gramEnd"/>
      <w:r w:rsidRPr="00C85C66">
        <w:rPr>
          <w:rFonts w:eastAsia="Times New Roman" w:cs="Arial"/>
        </w:rPr>
        <w:t xml:space="preserve"> COVID-19 and normal classes, while pneumonia remained more difficult.</w:t>
      </w:r>
    </w:p>
    <w:p w14:paraId="38D4856E" w14:textId="77777777" w:rsidR="00042B5E" w:rsidRDefault="00042B5E" w:rsidP="00042B5E">
      <w:pPr>
        <w:spacing w:after="60"/>
        <w:ind w:firstLine="259"/>
        <w:jc w:val="both"/>
        <w:rPr>
          <w:rFonts w:eastAsia="Times New Roman" w:cs="Arial"/>
        </w:rPr>
      </w:pPr>
      <w:r w:rsidRPr="00C85C66">
        <w:rPr>
          <w:rFonts w:eastAsia="Times New Roman" w:cs="Arial"/>
        </w:rPr>
        <w:t>For the DS_CT9K CT dataset, the frozen-feature strategy was unstable. M-DenseNet-201 achieved 99% training accuracy but only 70% test accuracy, indicating overfitting. M-Inception-v3 also showed overfitting with 89% training accuracy and 63% test accuracy. In contrast, M-VGG-16 achieved 98% test accuracy, suggesting that VGG-16 transferred better under frozen-feature training for CT images</w:t>
      </w:r>
      <w:r>
        <w:rPr>
          <w:rFonts w:eastAsia="Times New Roman" w:cs="Arial"/>
        </w:rPr>
        <w:t>.</w:t>
      </w:r>
    </w:p>
    <w:p w14:paraId="4C0FADD8" w14:textId="77777777" w:rsidR="00042B5E" w:rsidRPr="00B978FF" w:rsidRDefault="00042B5E" w:rsidP="00042B5E">
      <w:pPr>
        <w:spacing w:after="60"/>
        <w:jc w:val="both"/>
        <w:rPr>
          <w:rFonts w:eastAsia="Times New Roman" w:cs="Arial"/>
        </w:rPr>
      </w:pPr>
      <w:r w:rsidRPr="00C85C66">
        <w:rPr>
          <w:rFonts w:eastAsia="Times New Roman" w:cs="Arial"/>
        </w:rPr>
        <w:t xml:space="preserve">The models are trained using Adam optimizer, categorical cross-entropy loss, a learning rate of 0.0001, and a batch size of 64. The training process uses callbacks such as checkpointing, early stopping, learning-rate reduction, and </w:t>
      </w:r>
      <w:proofErr w:type="spellStart"/>
      <w:r w:rsidRPr="00C85C66">
        <w:rPr>
          <w:rFonts w:eastAsia="Times New Roman" w:cs="Arial"/>
        </w:rPr>
        <w:t>TensorBoard</w:t>
      </w:r>
      <w:proofErr w:type="spellEnd"/>
      <w:r w:rsidRPr="00C85C66">
        <w:rPr>
          <w:rFonts w:eastAsia="Times New Roman" w:cs="Arial"/>
        </w:rPr>
        <w:t xml:space="preserve"> monitoring. Evaluation is performed using accuracy, precision, recall, F1-score, and confusion matrices. Grad-CAM is then applied to generate heatmaps that identify image regions contributing to model decisions. These heatmaps are used as an interpretability tool and as visual support for severity assessment</w:t>
      </w:r>
      <w:r>
        <w:rPr>
          <w:rFonts w:eastAsia="Times New Roman" w:cs="Arial"/>
        </w:rPr>
        <w:t xml:space="preserve">. </w:t>
      </w:r>
      <w:r>
        <w:t>irrelevant image backgrounds. However, Grad-CAM should be interpreted as visual support for severity assessment, not as a clinically validated severity grading system unless expert severity labels are added.</w:t>
      </w:r>
    </w:p>
    <w:p w14:paraId="108D0BFE" w14:textId="5139D75B" w:rsidR="00042B5E" w:rsidRDefault="00042B5E" w:rsidP="00042B5E">
      <w:pPr>
        <w:spacing w:after="60"/>
        <w:jc w:val="lowKashida"/>
        <w:rPr>
          <w:rFonts w:eastAsia="Times New Roman" w:cs="Arial"/>
        </w:rPr>
      </w:pPr>
      <w:r>
        <w:rPr>
          <w:noProof/>
        </w:rPr>
        <w:drawing>
          <wp:anchor distT="0" distB="0" distL="114300" distR="114300" simplePos="0" relativeHeight="251660288" behindDoc="0" locked="0" layoutInCell="1" allowOverlap="1" wp14:anchorId="675B07C6" wp14:editId="7BF73CC9">
            <wp:simplePos x="0" y="0"/>
            <wp:positionH relativeFrom="column">
              <wp:posOffset>-2540</wp:posOffset>
            </wp:positionH>
            <wp:positionV relativeFrom="paragraph">
              <wp:posOffset>892175</wp:posOffset>
            </wp:positionV>
            <wp:extent cx="3293110" cy="2033270"/>
            <wp:effectExtent l="0" t="0" r="2540" b="5080"/>
            <wp:wrapSquare wrapText="bothSides"/>
            <wp:docPr id="1152256427" name="صورة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93110" cy="203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978FF">
        <w:rPr>
          <w:rFonts w:eastAsia="Times New Roman" w:cs="Arial"/>
        </w:rPr>
        <w:t>The numerical and visual evidence supporting these findings is presented in Figs. 2–6. The confusion matrix and classification report summarize the quantitative performance,</w:t>
      </w:r>
      <w:r>
        <w:rPr>
          <w:rFonts w:eastAsia="Times New Roman" w:cs="Arial"/>
        </w:rPr>
        <w:t xml:space="preserve"> </w:t>
      </w:r>
      <w:r w:rsidRPr="00B978FF">
        <w:rPr>
          <w:rFonts w:eastAsia="Times New Roman" w:cs="Arial"/>
        </w:rPr>
        <w:t>while the Grad-CAM examples illustrate the image regions that contributed to the classification decision</w:t>
      </w:r>
      <w:r>
        <w:rPr>
          <w:rFonts w:eastAsia="Times New Roman" w:cs="Arial"/>
        </w:rPr>
        <w:t>.</w:t>
      </w:r>
    </w:p>
    <w:p w14:paraId="0E11BE8E" w14:textId="77777777" w:rsidR="00042B5E" w:rsidRDefault="00042B5E" w:rsidP="00042B5E">
      <w:pPr>
        <w:spacing w:line="276" w:lineRule="auto"/>
        <w:rPr>
          <w:szCs w:val="28"/>
        </w:rPr>
      </w:pPr>
      <w:r w:rsidRPr="00035135">
        <w:rPr>
          <w:szCs w:val="28"/>
        </w:rPr>
        <w:t>Fig. 2. Confusion matrix of the high-performing transfer learning model on the balanced test set</w:t>
      </w:r>
      <w:r>
        <w:rPr>
          <w:szCs w:val="28"/>
        </w:rPr>
        <w:t>.</w:t>
      </w:r>
    </w:p>
    <w:p w14:paraId="59C818AA" w14:textId="00DEA992" w:rsidR="00042B5E" w:rsidRDefault="00042B5E" w:rsidP="00042B5E">
      <w:pPr>
        <w:spacing w:line="276" w:lineRule="auto"/>
        <w:jc w:val="both"/>
      </w:pPr>
      <w:r>
        <w:rPr>
          <w:noProof/>
        </w:rPr>
        <w:lastRenderedPageBreak/>
        <w:drawing>
          <wp:anchor distT="0" distB="0" distL="114300" distR="114300" simplePos="0" relativeHeight="251661312" behindDoc="0" locked="0" layoutInCell="1" allowOverlap="1" wp14:anchorId="2A462B85" wp14:editId="2C573135">
            <wp:simplePos x="0" y="0"/>
            <wp:positionH relativeFrom="column">
              <wp:posOffset>-249555</wp:posOffset>
            </wp:positionH>
            <wp:positionV relativeFrom="page">
              <wp:posOffset>381635</wp:posOffset>
            </wp:positionV>
            <wp:extent cx="3345815" cy="2837815"/>
            <wp:effectExtent l="0" t="0" r="6985" b="635"/>
            <wp:wrapSquare wrapText="bothSides"/>
            <wp:docPr id="1775256383"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45815" cy="28378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C670BBF" w14:textId="40C022F2" w:rsidR="00042B5E" w:rsidRPr="00D46379" w:rsidRDefault="00042B5E" w:rsidP="00042B5E">
      <w:pPr>
        <w:spacing w:before="40" w:after="140"/>
      </w:pPr>
      <w:r>
        <w:rPr>
          <w:noProof/>
        </w:rPr>
        <w:drawing>
          <wp:anchor distT="0" distB="0" distL="114300" distR="114300" simplePos="0" relativeHeight="251662336" behindDoc="0" locked="0" layoutInCell="1" allowOverlap="1" wp14:anchorId="61005911" wp14:editId="4FC4821B">
            <wp:simplePos x="0" y="0"/>
            <wp:positionH relativeFrom="column">
              <wp:posOffset>-322580</wp:posOffset>
            </wp:positionH>
            <wp:positionV relativeFrom="paragraph">
              <wp:posOffset>469900</wp:posOffset>
            </wp:positionV>
            <wp:extent cx="3369945" cy="2923540"/>
            <wp:effectExtent l="0" t="0" r="1905" b="0"/>
            <wp:wrapSquare wrapText="bothSides"/>
            <wp:docPr id="3065750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9945" cy="2923540"/>
                    </a:xfrm>
                    <a:prstGeom prst="rect">
                      <a:avLst/>
                    </a:prstGeom>
                    <a:noFill/>
                    <a:ln>
                      <a:noFill/>
                    </a:ln>
                  </pic:spPr>
                </pic:pic>
              </a:graphicData>
            </a:graphic>
            <wp14:sizeRelH relativeFrom="margin">
              <wp14:pctWidth>0</wp14:pctWidth>
            </wp14:sizeRelH>
            <wp14:sizeRelV relativeFrom="page">
              <wp14:pctHeight>0</wp14:pctHeight>
            </wp14:sizeRelV>
          </wp:anchor>
        </w:drawing>
      </w:r>
      <w:r w:rsidRPr="00D46379">
        <w:t xml:space="preserve">Fig. 3. Grad-CAM visualizations for representative </w:t>
      </w:r>
      <w:proofErr w:type="gramStart"/>
      <w:r w:rsidRPr="00D46379">
        <w:t xml:space="preserve">CXR </w:t>
      </w:r>
      <w:r>
        <w:t xml:space="preserve"> </w:t>
      </w:r>
      <w:r w:rsidRPr="00D46379">
        <w:t>images</w:t>
      </w:r>
      <w:proofErr w:type="gramEnd"/>
      <w:r w:rsidRPr="00D46379">
        <w:t xml:space="preserve"> from COVID-19, pneumonia, and normal classes.</w:t>
      </w:r>
    </w:p>
    <w:p w14:paraId="483A7DFF" w14:textId="77777777" w:rsidR="00042B5E" w:rsidRDefault="00042B5E" w:rsidP="00042B5E">
      <w:pPr>
        <w:spacing w:line="276" w:lineRule="auto"/>
      </w:pPr>
      <w:r w:rsidRPr="00D909D1">
        <w:t>Fig. 4. Grad-CAM visualizations for correctly classified COVID-</w:t>
      </w:r>
      <w:proofErr w:type="gramStart"/>
      <w:r w:rsidRPr="00D909D1">
        <w:t>19  CXR</w:t>
      </w:r>
      <w:proofErr w:type="gramEnd"/>
      <w:r w:rsidRPr="00D909D1">
        <w:t xml:space="preserve"> images</w:t>
      </w:r>
      <w:r>
        <w:t>.</w:t>
      </w:r>
    </w:p>
    <w:p w14:paraId="070070CA" w14:textId="25E9BAB9" w:rsidR="00042B5E" w:rsidRDefault="00042B5E" w:rsidP="00042B5E">
      <w:pPr>
        <w:spacing w:line="276" w:lineRule="auto"/>
      </w:pPr>
      <w:r>
        <w:rPr>
          <w:noProof/>
        </w:rPr>
        <w:drawing>
          <wp:anchor distT="0" distB="0" distL="114300" distR="114300" simplePos="0" relativeHeight="251663360" behindDoc="0" locked="0" layoutInCell="1" allowOverlap="1" wp14:anchorId="6565D384" wp14:editId="3DC6D0D0">
            <wp:simplePos x="0" y="0"/>
            <wp:positionH relativeFrom="column">
              <wp:posOffset>-118110</wp:posOffset>
            </wp:positionH>
            <wp:positionV relativeFrom="paragraph">
              <wp:posOffset>173990</wp:posOffset>
            </wp:positionV>
            <wp:extent cx="3238500" cy="1432560"/>
            <wp:effectExtent l="0" t="0" r="0" b="0"/>
            <wp:wrapSquare wrapText="bothSides"/>
            <wp:docPr id="1256411682"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500" cy="14325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6F39DFF" w14:textId="77777777" w:rsidR="00042B5E" w:rsidRDefault="00042B5E" w:rsidP="00042B5E">
      <w:pPr>
        <w:spacing w:line="276" w:lineRule="auto"/>
      </w:pPr>
      <w:bookmarkStart w:id="0" w:name="_Hlk230996836"/>
      <w:r w:rsidRPr="00D909D1">
        <w:t xml:space="preserve">Fig. 5. Classification report of the high-performing model showing </w:t>
      </w:r>
      <w:proofErr w:type="gramStart"/>
      <w:r w:rsidRPr="00D909D1">
        <w:t>Precision  recall</w:t>
      </w:r>
      <w:proofErr w:type="gramEnd"/>
      <w:r w:rsidRPr="00D909D1">
        <w:t>, F1-score, and support for each class</w:t>
      </w:r>
      <w:bookmarkEnd w:id="0"/>
    </w:p>
    <w:p w14:paraId="3B010459" w14:textId="4DFA85B7" w:rsidR="00042B5E" w:rsidRDefault="00042B5E" w:rsidP="00042B5E">
      <w:pPr>
        <w:spacing w:line="276" w:lineRule="auto"/>
      </w:pPr>
      <w:r>
        <w:rPr>
          <w:noProof/>
        </w:rPr>
        <w:drawing>
          <wp:anchor distT="0" distB="0" distL="114300" distR="114300" simplePos="0" relativeHeight="251664384" behindDoc="0" locked="0" layoutInCell="1" allowOverlap="1" wp14:anchorId="0E704FD7" wp14:editId="585B9F49">
            <wp:simplePos x="0" y="0"/>
            <wp:positionH relativeFrom="column">
              <wp:posOffset>-147955</wp:posOffset>
            </wp:positionH>
            <wp:positionV relativeFrom="page">
              <wp:posOffset>440690</wp:posOffset>
            </wp:positionV>
            <wp:extent cx="3350260" cy="2788920"/>
            <wp:effectExtent l="0" t="0" r="2540" b="0"/>
            <wp:wrapSquare wrapText="bothSides"/>
            <wp:docPr id="1989864543" name="صورة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50260" cy="27889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109377" w14:textId="77777777" w:rsidR="00042B5E" w:rsidRPr="009401F6" w:rsidRDefault="00042B5E" w:rsidP="00042B5E">
      <w:pPr>
        <w:spacing w:before="40" w:after="140"/>
        <w:rPr>
          <w:szCs w:val="24"/>
        </w:rPr>
      </w:pPr>
      <w:r w:rsidRPr="009401F6">
        <w:rPr>
          <w:sz w:val="18"/>
          <w:szCs w:val="24"/>
        </w:rPr>
        <w:t>Fig. 6. Grad-CAM visualization for CT images showing original slices, activation heatmaps, and overlay maps.</w:t>
      </w:r>
    </w:p>
    <w:p w14:paraId="63F5FA7E" w14:textId="77777777" w:rsidR="00042B5E" w:rsidRPr="001E41E0" w:rsidRDefault="00042B5E" w:rsidP="00042B5E">
      <w:pPr>
        <w:rPr>
          <w:sz w:val="18"/>
        </w:rPr>
      </w:pPr>
      <w:r w:rsidRPr="001E41E0">
        <w:rPr>
          <w:sz w:val="18"/>
        </w:rPr>
        <w:t>TABLE II. EXPERIMENTAL RESULTS OF TH PROPOSED TRANSFER LEARNING MODELS</w:t>
      </w:r>
    </w:p>
    <w:p w14:paraId="6E97B1CD" w14:textId="77777777" w:rsidR="00042B5E" w:rsidRDefault="00042B5E" w:rsidP="00042B5E">
      <w:pPr>
        <w:spacing w:line="276" w:lineRule="auto"/>
      </w:pPr>
    </w:p>
    <w:tbl>
      <w:tblPr>
        <w:tblW w:w="5238"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4A0" w:firstRow="1" w:lastRow="0" w:firstColumn="1" w:lastColumn="0" w:noHBand="0" w:noVBand="1"/>
      </w:tblPr>
      <w:tblGrid>
        <w:gridCol w:w="972"/>
        <w:gridCol w:w="901"/>
        <w:gridCol w:w="797"/>
        <w:gridCol w:w="678"/>
        <w:gridCol w:w="540"/>
        <w:gridCol w:w="1350"/>
      </w:tblGrid>
      <w:tr w:rsidR="00042B5E" w14:paraId="0B8BC30E" w14:textId="77777777" w:rsidTr="00EC19F3">
        <w:trPr>
          <w:trHeight w:val="296"/>
        </w:trPr>
        <w:tc>
          <w:tcPr>
            <w:tcW w:w="972" w:type="dxa"/>
            <w:tcBorders>
              <w:bottom w:val="single" w:sz="6" w:space="0" w:color="000000"/>
            </w:tcBorders>
            <w:shd w:val="pct30" w:color="FFFF00" w:fill="FFFFFF"/>
            <w:vAlign w:val="center"/>
          </w:tcPr>
          <w:p w14:paraId="4C8CF33E" w14:textId="77777777" w:rsidR="00042B5E" w:rsidRPr="00080BC7" w:rsidRDefault="00042B5E" w:rsidP="00EC19F3">
            <w:pPr>
              <w:rPr>
                <w:sz w:val="16"/>
                <w:szCs w:val="24"/>
              </w:rPr>
            </w:pPr>
            <w:r w:rsidRPr="00080BC7">
              <w:rPr>
                <w:b/>
                <w:sz w:val="16"/>
                <w:szCs w:val="24"/>
              </w:rPr>
              <w:t>Dataset</w:t>
            </w:r>
          </w:p>
        </w:tc>
        <w:tc>
          <w:tcPr>
            <w:tcW w:w="901" w:type="dxa"/>
            <w:tcBorders>
              <w:bottom w:val="single" w:sz="6" w:space="0" w:color="000000"/>
            </w:tcBorders>
            <w:shd w:val="pct30" w:color="FFFF00" w:fill="FFFFFF"/>
            <w:vAlign w:val="center"/>
          </w:tcPr>
          <w:p w14:paraId="565C6F68" w14:textId="77777777" w:rsidR="00042B5E" w:rsidRPr="00080BC7" w:rsidRDefault="00042B5E" w:rsidP="00EC19F3">
            <w:pPr>
              <w:rPr>
                <w:sz w:val="16"/>
                <w:szCs w:val="24"/>
              </w:rPr>
            </w:pPr>
            <w:r w:rsidRPr="00080BC7">
              <w:rPr>
                <w:b/>
                <w:sz w:val="16"/>
                <w:szCs w:val="24"/>
              </w:rPr>
              <w:t>Model</w:t>
            </w:r>
          </w:p>
        </w:tc>
        <w:tc>
          <w:tcPr>
            <w:tcW w:w="797" w:type="dxa"/>
            <w:tcBorders>
              <w:bottom w:val="single" w:sz="6" w:space="0" w:color="000000"/>
            </w:tcBorders>
            <w:shd w:val="pct30" w:color="FFFF00" w:fill="FFFFFF"/>
            <w:vAlign w:val="center"/>
          </w:tcPr>
          <w:p w14:paraId="332AD979" w14:textId="77777777" w:rsidR="00042B5E" w:rsidRPr="00080BC7" w:rsidRDefault="00042B5E" w:rsidP="00EC19F3">
            <w:pPr>
              <w:rPr>
                <w:sz w:val="16"/>
                <w:szCs w:val="24"/>
              </w:rPr>
            </w:pPr>
            <w:r w:rsidRPr="00080BC7">
              <w:rPr>
                <w:b/>
                <w:sz w:val="16"/>
                <w:szCs w:val="24"/>
              </w:rPr>
              <w:t>Strategy</w:t>
            </w:r>
          </w:p>
        </w:tc>
        <w:tc>
          <w:tcPr>
            <w:tcW w:w="678" w:type="dxa"/>
            <w:tcBorders>
              <w:bottom w:val="single" w:sz="6" w:space="0" w:color="000000"/>
            </w:tcBorders>
            <w:shd w:val="pct30" w:color="FFFF00" w:fill="FFFFFF"/>
            <w:vAlign w:val="center"/>
          </w:tcPr>
          <w:p w14:paraId="0DE5D7FE" w14:textId="77777777" w:rsidR="00042B5E" w:rsidRPr="00080BC7" w:rsidRDefault="00042B5E" w:rsidP="00EC19F3">
            <w:pPr>
              <w:rPr>
                <w:sz w:val="16"/>
                <w:szCs w:val="24"/>
              </w:rPr>
            </w:pPr>
            <w:r w:rsidRPr="00080BC7">
              <w:rPr>
                <w:b/>
                <w:sz w:val="16"/>
                <w:szCs w:val="24"/>
              </w:rPr>
              <w:t>Train Acc.</w:t>
            </w:r>
          </w:p>
        </w:tc>
        <w:tc>
          <w:tcPr>
            <w:tcW w:w="540" w:type="dxa"/>
            <w:tcBorders>
              <w:bottom w:val="single" w:sz="6" w:space="0" w:color="000000"/>
            </w:tcBorders>
            <w:shd w:val="pct30" w:color="FFFF00" w:fill="FFFFFF"/>
            <w:vAlign w:val="center"/>
          </w:tcPr>
          <w:p w14:paraId="459BE75E" w14:textId="77777777" w:rsidR="00042B5E" w:rsidRPr="00080BC7" w:rsidRDefault="00042B5E" w:rsidP="00EC19F3">
            <w:pPr>
              <w:rPr>
                <w:sz w:val="16"/>
                <w:szCs w:val="24"/>
              </w:rPr>
            </w:pPr>
            <w:r w:rsidRPr="00080BC7">
              <w:rPr>
                <w:b/>
                <w:sz w:val="16"/>
                <w:szCs w:val="24"/>
              </w:rPr>
              <w:t>Test Acc.</w:t>
            </w:r>
          </w:p>
        </w:tc>
        <w:tc>
          <w:tcPr>
            <w:tcW w:w="1350" w:type="dxa"/>
            <w:tcBorders>
              <w:bottom w:val="single" w:sz="6" w:space="0" w:color="000000"/>
            </w:tcBorders>
            <w:shd w:val="pct30" w:color="FFFF00" w:fill="FFFFFF"/>
            <w:vAlign w:val="center"/>
          </w:tcPr>
          <w:p w14:paraId="0907CE8E" w14:textId="77777777" w:rsidR="00042B5E" w:rsidRPr="00080BC7" w:rsidRDefault="00042B5E" w:rsidP="00EC19F3">
            <w:pPr>
              <w:rPr>
                <w:sz w:val="16"/>
                <w:szCs w:val="24"/>
              </w:rPr>
            </w:pPr>
            <w:r w:rsidRPr="00080BC7">
              <w:rPr>
                <w:b/>
                <w:sz w:val="16"/>
                <w:szCs w:val="24"/>
              </w:rPr>
              <w:t>Main observation</w:t>
            </w:r>
          </w:p>
        </w:tc>
      </w:tr>
      <w:tr w:rsidR="00042B5E" w14:paraId="3578F31A" w14:textId="77777777" w:rsidTr="00EC19F3">
        <w:trPr>
          <w:trHeight w:val="562"/>
        </w:trPr>
        <w:tc>
          <w:tcPr>
            <w:tcW w:w="972" w:type="dxa"/>
            <w:vAlign w:val="center"/>
          </w:tcPr>
          <w:p w14:paraId="0BC69CAC" w14:textId="77777777" w:rsidR="00042B5E" w:rsidRPr="00080BC7" w:rsidRDefault="00042B5E" w:rsidP="00EC19F3">
            <w:pPr>
              <w:rPr>
                <w:sz w:val="16"/>
                <w:szCs w:val="24"/>
              </w:rPr>
            </w:pPr>
            <w:r w:rsidRPr="00080BC7">
              <w:rPr>
                <w:sz w:val="16"/>
                <w:szCs w:val="24"/>
              </w:rPr>
              <w:t>DS_X9K / CXR</w:t>
            </w:r>
          </w:p>
        </w:tc>
        <w:tc>
          <w:tcPr>
            <w:tcW w:w="901" w:type="dxa"/>
            <w:vAlign w:val="center"/>
          </w:tcPr>
          <w:p w14:paraId="5D7528E1" w14:textId="77777777" w:rsidR="00042B5E" w:rsidRPr="00080BC7" w:rsidRDefault="00042B5E" w:rsidP="00EC19F3">
            <w:pPr>
              <w:rPr>
                <w:sz w:val="16"/>
                <w:szCs w:val="24"/>
              </w:rPr>
            </w:pPr>
            <w:r w:rsidRPr="00080BC7">
              <w:rPr>
                <w:sz w:val="16"/>
                <w:szCs w:val="24"/>
              </w:rPr>
              <w:t>M-DenseNet-201</w:t>
            </w:r>
          </w:p>
        </w:tc>
        <w:tc>
          <w:tcPr>
            <w:tcW w:w="797" w:type="dxa"/>
            <w:vAlign w:val="center"/>
          </w:tcPr>
          <w:p w14:paraId="72AE3AFE" w14:textId="77777777" w:rsidR="00042B5E" w:rsidRPr="00080BC7" w:rsidRDefault="00042B5E" w:rsidP="00EC19F3">
            <w:pPr>
              <w:rPr>
                <w:sz w:val="16"/>
                <w:szCs w:val="24"/>
              </w:rPr>
            </w:pPr>
            <w:r w:rsidRPr="00080BC7">
              <w:rPr>
                <w:sz w:val="16"/>
                <w:szCs w:val="24"/>
              </w:rPr>
              <w:t>Frozen feature layers</w:t>
            </w:r>
          </w:p>
        </w:tc>
        <w:tc>
          <w:tcPr>
            <w:tcW w:w="678" w:type="dxa"/>
            <w:vAlign w:val="center"/>
          </w:tcPr>
          <w:p w14:paraId="211A1AC3" w14:textId="77777777" w:rsidR="00042B5E" w:rsidRPr="00080BC7" w:rsidRDefault="00042B5E" w:rsidP="00EC19F3">
            <w:pPr>
              <w:rPr>
                <w:sz w:val="16"/>
                <w:szCs w:val="24"/>
              </w:rPr>
            </w:pPr>
            <w:r w:rsidRPr="00080BC7">
              <w:rPr>
                <w:sz w:val="16"/>
                <w:szCs w:val="24"/>
              </w:rPr>
              <w:t>100%</w:t>
            </w:r>
          </w:p>
        </w:tc>
        <w:tc>
          <w:tcPr>
            <w:tcW w:w="540" w:type="dxa"/>
            <w:vAlign w:val="center"/>
          </w:tcPr>
          <w:p w14:paraId="01816151" w14:textId="77777777" w:rsidR="00042B5E" w:rsidRPr="00080BC7" w:rsidRDefault="00042B5E" w:rsidP="00EC19F3">
            <w:pPr>
              <w:rPr>
                <w:sz w:val="16"/>
                <w:szCs w:val="24"/>
              </w:rPr>
            </w:pPr>
            <w:r w:rsidRPr="00080BC7">
              <w:rPr>
                <w:sz w:val="16"/>
                <w:szCs w:val="24"/>
              </w:rPr>
              <w:t>94%</w:t>
            </w:r>
          </w:p>
        </w:tc>
        <w:tc>
          <w:tcPr>
            <w:tcW w:w="1350" w:type="dxa"/>
            <w:vAlign w:val="center"/>
          </w:tcPr>
          <w:p w14:paraId="5B7F15EC" w14:textId="77777777" w:rsidR="00042B5E" w:rsidRPr="00080BC7" w:rsidRDefault="00042B5E" w:rsidP="00EC19F3">
            <w:pPr>
              <w:rPr>
                <w:sz w:val="16"/>
                <w:szCs w:val="24"/>
              </w:rPr>
            </w:pPr>
            <w:r w:rsidRPr="00080BC7">
              <w:rPr>
                <w:sz w:val="16"/>
                <w:szCs w:val="24"/>
              </w:rPr>
              <w:t>Best frozen-feature CXR model</w:t>
            </w:r>
          </w:p>
        </w:tc>
      </w:tr>
      <w:tr w:rsidR="00042B5E" w14:paraId="3A8F9514" w14:textId="77777777" w:rsidTr="00EC19F3">
        <w:trPr>
          <w:trHeight w:val="872"/>
        </w:trPr>
        <w:tc>
          <w:tcPr>
            <w:tcW w:w="972" w:type="dxa"/>
            <w:vAlign w:val="center"/>
          </w:tcPr>
          <w:p w14:paraId="7C12EEC1" w14:textId="77777777" w:rsidR="00042B5E" w:rsidRPr="00080BC7" w:rsidRDefault="00042B5E" w:rsidP="00EC19F3">
            <w:pPr>
              <w:rPr>
                <w:sz w:val="16"/>
                <w:szCs w:val="24"/>
              </w:rPr>
            </w:pPr>
            <w:r w:rsidRPr="00080BC7">
              <w:rPr>
                <w:sz w:val="16"/>
                <w:szCs w:val="24"/>
              </w:rPr>
              <w:t>DS_X9K / CXR</w:t>
            </w:r>
          </w:p>
        </w:tc>
        <w:tc>
          <w:tcPr>
            <w:tcW w:w="901" w:type="dxa"/>
            <w:vAlign w:val="center"/>
          </w:tcPr>
          <w:p w14:paraId="7D5E58CC" w14:textId="77777777" w:rsidR="00042B5E" w:rsidRPr="00080BC7" w:rsidRDefault="00042B5E" w:rsidP="00EC19F3">
            <w:pPr>
              <w:rPr>
                <w:sz w:val="16"/>
                <w:szCs w:val="24"/>
              </w:rPr>
            </w:pPr>
            <w:r w:rsidRPr="00080BC7">
              <w:rPr>
                <w:sz w:val="16"/>
                <w:szCs w:val="24"/>
              </w:rPr>
              <w:t>EM-DenseNet-201</w:t>
            </w:r>
          </w:p>
        </w:tc>
        <w:tc>
          <w:tcPr>
            <w:tcW w:w="797" w:type="dxa"/>
            <w:vAlign w:val="center"/>
          </w:tcPr>
          <w:p w14:paraId="27817F86" w14:textId="77777777" w:rsidR="00042B5E" w:rsidRPr="00080BC7" w:rsidRDefault="00042B5E" w:rsidP="00EC19F3">
            <w:pPr>
              <w:rPr>
                <w:sz w:val="16"/>
                <w:szCs w:val="24"/>
              </w:rPr>
            </w:pPr>
            <w:r w:rsidRPr="00080BC7">
              <w:rPr>
                <w:sz w:val="16"/>
                <w:szCs w:val="24"/>
              </w:rPr>
              <w:t>Full fine-tuning</w:t>
            </w:r>
          </w:p>
        </w:tc>
        <w:tc>
          <w:tcPr>
            <w:tcW w:w="678" w:type="dxa"/>
            <w:vAlign w:val="center"/>
          </w:tcPr>
          <w:p w14:paraId="2E06036F" w14:textId="77777777" w:rsidR="00042B5E" w:rsidRPr="00080BC7" w:rsidRDefault="00042B5E" w:rsidP="00EC19F3">
            <w:pPr>
              <w:rPr>
                <w:sz w:val="16"/>
                <w:szCs w:val="24"/>
              </w:rPr>
            </w:pPr>
            <w:r w:rsidRPr="00080BC7">
              <w:rPr>
                <w:sz w:val="16"/>
                <w:szCs w:val="24"/>
              </w:rPr>
              <w:t>100%</w:t>
            </w:r>
          </w:p>
        </w:tc>
        <w:tc>
          <w:tcPr>
            <w:tcW w:w="540" w:type="dxa"/>
            <w:vAlign w:val="center"/>
          </w:tcPr>
          <w:p w14:paraId="37BE854D" w14:textId="77777777" w:rsidR="00042B5E" w:rsidRPr="00080BC7" w:rsidRDefault="00042B5E" w:rsidP="00EC19F3">
            <w:pPr>
              <w:rPr>
                <w:sz w:val="16"/>
                <w:szCs w:val="24"/>
              </w:rPr>
            </w:pPr>
            <w:r w:rsidRPr="00080BC7">
              <w:rPr>
                <w:sz w:val="16"/>
                <w:szCs w:val="24"/>
              </w:rPr>
              <w:t>98%</w:t>
            </w:r>
          </w:p>
        </w:tc>
        <w:tc>
          <w:tcPr>
            <w:tcW w:w="1350" w:type="dxa"/>
            <w:vAlign w:val="center"/>
          </w:tcPr>
          <w:p w14:paraId="230CBBDB" w14:textId="77777777" w:rsidR="00042B5E" w:rsidRPr="00080BC7" w:rsidRDefault="00042B5E" w:rsidP="00EC19F3">
            <w:pPr>
              <w:rPr>
                <w:sz w:val="16"/>
                <w:szCs w:val="24"/>
              </w:rPr>
            </w:pPr>
            <w:r w:rsidRPr="00080BC7">
              <w:rPr>
                <w:sz w:val="16"/>
                <w:szCs w:val="24"/>
              </w:rPr>
              <w:t>Best CXR model; COVID-19 and normal F1-score reached 99%</w:t>
            </w:r>
          </w:p>
        </w:tc>
      </w:tr>
      <w:tr w:rsidR="00042B5E" w14:paraId="3350AC70" w14:textId="77777777" w:rsidTr="00EC19F3">
        <w:trPr>
          <w:trHeight w:val="562"/>
        </w:trPr>
        <w:tc>
          <w:tcPr>
            <w:tcW w:w="972" w:type="dxa"/>
            <w:vAlign w:val="center"/>
          </w:tcPr>
          <w:p w14:paraId="3156F5E9" w14:textId="77777777" w:rsidR="00042B5E" w:rsidRPr="00080BC7" w:rsidRDefault="00042B5E" w:rsidP="00EC19F3">
            <w:pPr>
              <w:rPr>
                <w:sz w:val="16"/>
                <w:szCs w:val="24"/>
              </w:rPr>
            </w:pPr>
            <w:r w:rsidRPr="00080BC7">
              <w:rPr>
                <w:sz w:val="16"/>
                <w:szCs w:val="24"/>
              </w:rPr>
              <w:t>DS_X9K / CXR</w:t>
            </w:r>
          </w:p>
        </w:tc>
        <w:tc>
          <w:tcPr>
            <w:tcW w:w="901" w:type="dxa"/>
            <w:vAlign w:val="center"/>
          </w:tcPr>
          <w:p w14:paraId="7024B6B8" w14:textId="77777777" w:rsidR="00042B5E" w:rsidRPr="00080BC7" w:rsidRDefault="00042B5E" w:rsidP="00EC19F3">
            <w:pPr>
              <w:rPr>
                <w:sz w:val="16"/>
                <w:szCs w:val="24"/>
              </w:rPr>
            </w:pPr>
            <w:r w:rsidRPr="00080BC7">
              <w:rPr>
                <w:sz w:val="16"/>
                <w:szCs w:val="24"/>
              </w:rPr>
              <w:t>M-VGG-16</w:t>
            </w:r>
          </w:p>
        </w:tc>
        <w:tc>
          <w:tcPr>
            <w:tcW w:w="797" w:type="dxa"/>
            <w:vAlign w:val="center"/>
          </w:tcPr>
          <w:p w14:paraId="4B82B132" w14:textId="77777777" w:rsidR="00042B5E" w:rsidRPr="00080BC7" w:rsidRDefault="00042B5E" w:rsidP="00EC19F3">
            <w:pPr>
              <w:rPr>
                <w:sz w:val="16"/>
                <w:szCs w:val="24"/>
              </w:rPr>
            </w:pPr>
            <w:r w:rsidRPr="00080BC7">
              <w:rPr>
                <w:sz w:val="16"/>
                <w:szCs w:val="24"/>
              </w:rPr>
              <w:t>Frozen feature layers</w:t>
            </w:r>
          </w:p>
        </w:tc>
        <w:tc>
          <w:tcPr>
            <w:tcW w:w="678" w:type="dxa"/>
            <w:vAlign w:val="center"/>
          </w:tcPr>
          <w:p w14:paraId="6FD4AAD8" w14:textId="77777777" w:rsidR="00042B5E" w:rsidRPr="00080BC7" w:rsidRDefault="00042B5E" w:rsidP="00EC19F3">
            <w:pPr>
              <w:rPr>
                <w:sz w:val="16"/>
                <w:szCs w:val="24"/>
              </w:rPr>
            </w:pPr>
            <w:r w:rsidRPr="00080BC7">
              <w:rPr>
                <w:sz w:val="16"/>
                <w:szCs w:val="24"/>
              </w:rPr>
              <w:t>87%</w:t>
            </w:r>
          </w:p>
        </w:tc>
        <w:tc>
          <w:tcPr>
            <w:tcW w:w="540" w:type="dxa"/>
            <w:vAlign w:val="center"/>
          </w:tcPr>
          <w:p w14:paraId="4CAB1EF2" w14:textId="77777777" w:rsidR="00042B5E" w:rsidRPr="00080BC7" w:rsidRDefault="00042B5E" w:rsidP="00EC19F3">
            <w:pPr>
              <w:rPr>
                <w:sz w:val="16"/>
                <w:szCs w:val="24"/>
              </w:rPr>
            </w:pPr>
            <w:r w:rsidRPr="00080BC7">
              <w:rPr>
                <w:sz w:val="16"/>
                <w:szCs w:val="24"/>
              </w:rPr>
              <w:t>90%</w:t>
            </w:r>
          </w:p>
        </w:tc>
        <w:tc>
          <w:tcPr>
            <w:tcW w:w="1350" w:type="dxa"/>
            <w:vAlign w:val="center"/>
          </w:tcPr>
          <w:p w14:paraId="5BCF1B21" w14:textId="77777777" w:rsidR="00042B5E" w:rsidRPr="00080BC7" w:rsidRDefault="00042B5E" w:rsidP="00EC19F3">
            <w:pPr>
              <w:rPr>
                <w:sz w:val="16"/>
                <w:szCs w:val="24"/>
              </w:rPr>
            </w:pPr>
            <w:r w:rsidRPr="00080BC7">
              <w:rPr>
                <w:sz w:val="16"/>
                <w:szCs w:val="24"/>
              </w:rPr>
              <w:t>Weaker frozen-feature CXR result</w:t>
            </w:r>
          </w:p>
        </w:tc>
      </w:tr>
      <w:tr w:rsidR="00042B5E" w14:paraId="34B809BA" w14:textId="77777777" w:rsidTr="00EC19F3">
        <w:trPr>
          <w:trHeight w:val="264"/>
        </w:trPr>
        <w:tc>
          <w:tcPr>
            <w:tcW w:w="972" w:type="dxa"/>
            <w:vAlign w:val="center"/>
          </w:tcPr>
          <w:p w14:paraId="38F40A4C" w14:textId="77777777" w:rsidR="00042B5E" w:rsidRPr="00080BC7" w:rsidRDefault="00042B5E" w:rsidP="00EC19F3">
            <w:pPr>
              <w:rPr>
                <w:sz w:val="16"/>
                <w:szCs w:val="24"/>
              </w:rPr>
            </w:pPr>
            <w:r w:rsidRPr="00080BC7">
              <w:rPr>
                <w:sz w:val="16"/>
                <w:szCs w:val="24"/>
              </w:rPr>
              <w:t>DS_X9K / CXR</w:t>
            </w:r>
          </w:p>
        </w:tc>
        <w:tc>
          <w:tcPr>
            <w:tcW w:w="901" w:type="dxa"/>
            <w:vAlign w:val="center"/>
          </w:tcPr>
          <w:p w14:paraId="053BD5A3" w14:textId="77777777" w:rsidR="00042B5E" w:rsidRPr="00080BC7" w:rsidRDefault="00042B5E" w:rsidP="00EC19F3">
            <w:pPr>
              <w:rPr>
                <w:sz w:val="16"/>
                <w:szCs w:val="24"/>
              </w:rPr>
            </w:pPr>
            <w:r w:rsidRPr="00080BC7">
              <w:rPr>
                <w:sz w:val="16"/>
                <w:szCs w:val="24"/>
              </w:rPr>
              <w:t>EM-VGG-16</w:t>
            </w:r>
          </w:p>
        </w:tc>
        <w:tc>
          <w:tcPr>
            <w:tcW w:w="797" w:type="dxa"/>
            <w:vAlign w:val="center"/>
          </w:tcPr>
          <w:p w14:paraId="637F8164" w14:textId="77777777" w:rsidR="00042B5E" w:rsidRPr="00080BC7" w:rsidRDefault="00042B5E" w:rsidP="00EC19F3">
            <w:pPr>
              <w:rPr>
                <w:sz w:val="16"/>
                <w:szCs w:val="24"/>
              </w:rPr>
            </w:pPr>
            <w:r w:rsidRPr="00080BC7">
              <w:rPr>
                <w:sz w:val="16"/>
                <w:szCs w:val="24"/>
              </w:rPr>
              <w:t>Full fine-tuning</w:t>
            </w:r>
          </w:p>
        </w:tc>
        <w:tc>
          <w:tcPr>
            <w:tcW w:w="678" w:type="dxa"/>
            <w:vAlign w:val="center"/>
          </w:tcPr>
          <w:p w14:paraId="2D93B57E" w14:textId="77777777" w:rsidR="00042B5E" w:rsidRPr="00080BC7" w:rsidRDefault="00042B5E" w:rsidP="00EC19F3">
            <w:pPr>
              <w:rPr>
                <w:sz w:val="16"/>
                <w:szCs w:val="24"/>
              </w:rPr>
            </w:pPr>
            <w:r w:rsidRPr="00080BC7">
              <w:rPr>
                <w:sz w:val="16"/>
                <w:szCs w:val="24"/>
              </w:rPr>
              <w:t>~100%</w:t>
            </w:r>
          </w:p>
        </w:tc>
        <w:tc>
          <w:tcPr>
            <w:tcW w:w="540" w:type="dxa"/>
            <w:vAlign w:val="center"/>
          </w:tcPr>
          <w:p w14:paraId="16A66649" w14:textId="77777777" w:rsidR="00042B5E" w:rsidRPr="00080BC7" w:rsidRDefault="00042B5E" w:rsidP="00EC19F3">
            <w:pPr>
              <w:rPr>
                <w:sz w:val="16"/>
                <w:szCs w:val="24"/>
              </w:rPr>
            </w:pPr>
            <w:r w:rsidRPr="00080BC7">
              <w:rPr>
                <w:sz w:val="16"/>
                <w:szCs w:val="24"/>
              </w:rPr>
              <w:t>~97%</w:t>
            </w:r>
          </w:p>
        </w:tc>
        <w:tc>
          <w:tcPr>
            <w:tcW w:w="1350" w:type="dxa"/>
            <w:vAlign w:val="center"/>
          </w:tcPr>
          <w:p w14:paraId="08AECB40" w14:textId="77777777" w:rsidR="00042B5E" w:rsidRPr="00080BC7" w:rsidRDefault="00042B5E" w:rsidP="00EC19F3">
            <w:pPr>
              <w:rPr>
                <w:sz w:val="16"/>
                <w:szCs w:val="24"/>
              </w:rPr>
            </w:pPr>
            <w:r w:rsidRPr="00080BC7">
              <w:rPr>
                <w:sz w:val="16"/>
                <w:szCs w:val="24"/>
              </w:rPr>
              <w:t>Strong full-training result</w:t>
            </w:r>
          </w:p>
        </w:tc>
      </w:tr>
      <w:tr w:rsidR="00042B5E" w14:paraId="1F095FAA" w14:textId="77777777" w:rsidTr="00EC19F3">
        <w:trPr>
          <w:trHeight w:val="562"/>
        </w:trPr>
        <w:tc>
          <w:tcPr>
            <w:tcW w:w="972" w:type="dxa"/>
            <w:vAlign w:val="center"/>
          </w:tcPr>
          <w:p w14:paraId="1359F63F" w14:textId="77777777" w:rsidR="00042B5E" w:rsidRPr="00080BC7" w:rsidRDefault="00042B5E" w:rsidP="00EC19F3">
            <w:pPr>
              <w:rPr>
                <w:sz w:val="16"/>
                <w:szCs w:val="24"/>
              </w:rPr>
            </w:pPr>
            <w:r w:rsidRPr="00080BC7">
              <w:rPr>
                <w:sz w:val="16"/>
                <w:szCs w:val="24"/>
              </w:rPr>
              <w:t>DS_X9K / CXR</w:t>
            </w:r>
          </w:p>
        </w:tc>
        <w:tc>
          <w:tcPr>
            <w:tcW w:w="901" w:type="dxa"/>
            <w:vAlign w:val="center"/>
          </w:tcPr>
          <w:p w14:paraId="7D4881E9" w14:textId="77777777" w:rsidR="00042B5E" w:rsidRPr="00080BC7" w:rsidRDefault="00042B5E" w:rsidP="00EC19F3">
            <w:pPr>
              <w:rPr>
                <w:sz w:val="16"/>
                <w:szCs w:val="24"/>
              </w:rPr>
            </w:pPr>
            <w:r w:rsidRPr="00080BC7">
              <w:rPr>
                <w:sz w:val="16"/>
                <w:szCs w:val="24"/>
              </w:rPr>
              <w:t>M-Inception-v3</w:t>
            </w:r>
          </w:p>
        </w:tc>
        <w:tc>
          <w:tcPr>
            <w:tcW w:w="797" w:type="dxa"/>
            <w:vAlign w:val="center"/>
          </w:tcPr>
          <w:p w14:paraId="61ACBC3B" w14:textId="77777777" w:rsidR="00042B5E" w:rsidRPr="00080BC7" w:rsidRDefault="00042B5E" w:rsidP="00EC19F3">
            <w:pPr>
              <w:rPr>
                <w:sz w:val="16"/>
                <w:szCs w:val="24"/>
              </w:rPr>
            </w:pPr>
            <w:r w:rsidRPr="00080BC7">
              <w:rPr>
                <w:sz w:val="16"/>
                <w:szCs w:val="24"/>
              </w:rPr>
              <w:t>Frozen feature layers</w:t>
            </w:r>
          </w:p>
        </w:tc>
        <w:tc>
          <w:tcPr>
            <w:tcW w:w="678" w:type="dxa"/>
            <w:vAlign w:val="center"/>
          </w:tcPr>
          <w:p w14:paraId="3ABE158D" w14:textId="77777777" w:rsidR="00042B5E" w:rsidRPr="00080BC7" w:rsidRDefault="00042B5E" w:rsidP="00EC19F3">
            <w:pPr>
              <w:rPr>
                <w:sz w:val="16"/>
                <w:szCs w:val="24"/>
              </w:rPr>
            </w:pPr>
            <w:r w:rsidRPr="00080BC7">
              <w:rPr>
                <w:sz w:val="16"/>
                <w:szCs w:val="24"/>
              </w:rPr>
              <w:t>90%</w:t>
            </w:r>
          </w:p>
        </w:tc>
        <w:tc>
          <w:tcPr>
            <w:tcW w:w="540" w:type="dxa"/>
            <w:vAlign w:val="center"/>
          </w:tcPr>
          <w:p w14:paraId="294D8E34" w14:textId="77777777" w:rsidR="00042B5E" w:rsidRPr="00080BC7" w:rsidRDefault="00042B5E" w:rsidP="00EC19F3">
            <w:pPr>
              <w:rPr>
                <w:sz w:val="16"/>
                <w:szCs w:val="24"/>
              </w:rPr>
            </w:pPr>
            <w:r w:rsidRPr="00080BC7">
              <w:rPr>
                <w:sz w:val="16"/>
                <w:szCs w:val="24"/>
              </w:rPr>
              <w:t>86%</w:t>
            </w:r>
          </w:p>
        </w:tc>
        <w:tc>
          <w:tcPr>
            <w:tcW w:w="1350" w:type="dxa"/>
            <w:vAlign w:val="center"/>
          </w:tcPr>
          <w:p w14:paraId="1F551B69" w14:textId="77777777" w:rsidR="00042B5E" w:rsidRPr="00080BC7" w:rsidRDefault="00042B5E" w:rsidP="00EC19F3">
            <w:pPr>
              <w:rPr>
                <w:sz w:val="16"/>
                <w:szCs w:val="24"/>
              </w:rPr>
            </w:pPr>
            <w:r w:rsidRPr="00080BC7">
              <w:rPr>
                <w:sz w:val="16"/>
                <w:szCs w:val="24"/>
              </w:rPr>
              <w:t>Weakest CXR model; high false predictions</w:t>
            </w:r>
          </w:p>
        </w:tc>
      </w:tr>
      <w:tr w:rsidR="00042B5E" w14:paraId="54864489" w14:textId="77777777" w:rsidTr="00EC19F3">
        <w:trPr>
          <w:trHeight w:val="529"/>
        </w:trPr>
        <w:tc>
          <w:tcPr>
            <w:tcW w:w="972" w:type="dxa"/>
            <w:vAlign w:val="center"/>
          </w:tcPr>
          <w:p w14:paraId="45A7D267" w14:textId="77777777" w:rsidR="00042B5E" w:rsidRPr="00080BC7" w:rsidRDefault="00042B5E" w:rsidP="00EC19F3">
            <w:pPr>
              <w:rPr>
                <w:sz w:val="16"/>
                <w:szCs w:val="24"/>
              </w:rPr>
            </w:pPr>
            <w:r w:rsidRPr="00080BC7">
              <w:rPr>
                <w:sz w:val="16"/>
                <w:szCs w:val="24"/>
              </w:rPr>
              <w:t>DS_X9K / CXR</w:t>
            </w:r>
          </w:p>
        </w:tc>
        <w:tc>
          <w:tcPr>
            <w:tcW w:w="901" w:type="dxa"/>
            <w:vAlign w:val="center"/>
          </w:tcPr>
          <w:p w14:paraId="523F847F" w14:textId="77777777" w:rsidR="00042B5E" w:rsidRPr="00080BC7" w:rsidRDefault="00042B5E" w:rsidP="00EC19F3">
            <w:pPr>
              <w:rPr>
                <w:sz w:val="16"/>
                <w:szCs w:val="24"/>
              </w:rPr>
            </w:pPr>
            <w:r w:rsidRPr="00080BC7">
              <w:rPr>
                <w:sz w:val="16"/>
                <w:szCs w:val="24"/>
              </w:rPr>
              <w:t>EM-Inception-v3</w:t>
            </w:r>
          </w:p>
        </w:tc>
        <w:tc>
          <w:tcPr>
            <w:tcW w:w="797" w:type="dxa"/>
            <w:vAlign w:val="center"/>
          </w:tcPr>
          <w:p w14:paraId="69CAD620" w14:textId="77777777" w:rsidR="00042B5E" w:rsidRPr="00080BC7" w:rsidRDefault="00042B5E" w:rsidP="00EC19F3">
            <w:pPr>
              <w:rPr>
                <w:sz w:val="16"/>
                <w:szCs w:val="24"/>
              </w:rPr>
            </w:pPr>
            <w:r w:rsidRPr="00080BC7">
              <w:rPr>
                <w:sz w:val="16"/>
                <w:szCs w:val="24"/>
              </w:rPr>
              <w:t>Full fine-tuning</w:t>
            </w:r>
          </w:p>
        </w:tc>
        <w:tc>
          <w:tcPr>
            <w:tcW w:w="678" w:type="dxa"/>
            <w:vAlign w:val="center"/>
          </w:tcPr>
          <w:p w14:paraId="2585693C" w14:textId="77777777" w:rsidR="00042B5E" w:rsidRPr="00080BC7" w:rsidRDefault="00042B5E" w:rsidP="00EC19F3">
            <w:pPr>
              <w:rPr>
                <w:sz w:val="16"/>
                <w:szCs w:val="24"/>
              </w:rPr>
            </w:pPr>
            <w:r w:rsidRPr="00080BC7">
              <w:rPr>
                <w:sz w:val="16"/>
                <w:szCs w:val="24"/>
              </w:rPr>
              <w:t>~100%</w:t>
            </w:r>
          </w:p>
        </w:tc>
        <w:tc>
          <w:tcPr>
            <w:tcW w:w="540" w:type="dxa"/>
            <w:vAlign w:val="center"/>
          </w:tcPr>
          <w:p w14:paraId="0A22F3F3" w14:textId="77777777" w:rsidR="00042B5E" w:rsidRPr="00080BC7" w:rsidRDefault="00042B5E" w:rsidP="00EC19F3">
            <w:pPr>
              <w:rPr>
                <w:sz w:val="16"/>
                <w:szCs w:val="24"/>
              </w:rPr>
            </w:pPr>
            <w:r w:rsidRPr="00080BC7">
              <w:rPr>
                <w:sz w:val="16"/>
                <w:szCs w:val="24"/>
              </w:rPr>
              <w:t>97%</w:t>
            </w:r>
          </w:p>
        </w:tc>
        <w:tc>
          <w:tcPr>
            <w:tcW w:w="1350" w:type="dxa"/>
            <w:vAlign w:val="center"/>
          </w:tcPr>
          <w:p w14:paraId="79F559E3" w14:textId="77777777" w:rsidR="00042B5E" w:rsidRPr="00080BC7" w:rsidRDefault="00042B5E" w:rsidP="00EC19F3">
            <w:pPr>
              <w:rPr>
                <w:sz w:val="16"/>
                <w:szCs w:val="24"/>
              </w:rPr>
            </w:pPr>
            <w:r w:rsidRPr="00080BC7">
              <w:rPr>
                <w:sz w:val="16"/>
                <w:szCs w:val="24"/>
              </w:rPr>
              <w:t>Improved after full fine-tuning</w:t>
            </w:r>
          </w:p>
        </w:tc>
      </w:tr>
      <w:tr w:rsidR="00042B5E" w14:paraId="42F47138" w14:textId="77777777" w:rsidTr="00EC19F3">
        <w:trPr>
          <w:trHeight w:val="264"/>
        </w:trPr>
        <w:tc>
          <w:tcPr>
            <w:tcW w:w="972" w:type="dxa"/>
            <w:vAlign w:val="center"/>
          </w:tcPr>
          <w:p w14:paraId="3E002B57" w14:textId="77777777" w:rsidR="00042B5E" w:rsidRPr="00080BC7" w:rsidRDefault="00042B5E" w:rsidP="00EC19F3">
            <w:pPr>
              <w:rPr>
                <w:sz w:val="16"/>
                <w:szCs w:val="24"/>
              </w:rPr>
            </w:pPr>
            <w:r w:rsidRPr="00080BC7">
              <w:rPr>
                <w:sz w:val="16"/>
                <w:szCs w:val="24"/>
              </w:rPr>
              <w:t>DS_CT9K / CT</w:t>
            </w:r>
          </w:p>
        </w:tc>
        <w:tc>
          <w:tcPr>
            <w:tcW w:w="901" w:type="dxa"/>
            <w:vAlign w:val="center"/>
          </w:tcPr>
          <w:p w14:paraId="278B6DD7" w14:textId="77777777" w:rsidR="00042B5E" w:rsidRPr="00080BC7" w:rsidRDefault="00042B5E" w:rsidP="00EC19F3">
            <w:pPr>
              <w:rPr>
                <w:sz w:val="16"/>
                <w:szCs w:val="24"/>
              </w:rPr>
            </w:pPr>
            <w:r w:rsidRPr="00080BC7">
              <w:rPr>
                <w:sz w:val="16"/>
                <w:szCs w:val="24"/>
              </w:rPr>
              <w:t>M-DenseNet-201</w:t>
            </w:r>
          </w:p>
        </w:tc>
        <w:tc>
          <w:tcPr>
            <w:tcW w:w="797" w:type="dxa"/>
            <w:vAlign w:val="center"/>
          </w:tcPr>
          <w:p w14:paraId="2B01A4A7" w14:textId="77777777" w:rsidR="00042B5E" w:rsidRPr="00080BC7" w:rsidRDefault="00042B5E" w:rsidP="00EC19F3">
            <w:pPr>
              <w:rPr>
                <w:sz w:val="16"/>
                <w:szCs w:val="24"/>
              </w:rPr>
            </w:pPr>
            <w:r w:rsidRPr="00080BC7">
              <w:rPr>
                <w:sz w:val="16"/>
                <w:szCs w:val="24"/>
              </w:rPr>
              <w:t>Frozen feature layers</w:t>
            </w:r>
          </w:p>
        </w:tc>
        <w:tc>
          <w:tcPr>
            <w:tcW w:w="678" w:type="dxa"/>
            <w:vAlign w:val="center"/>
          </w:tcPr>
          <w:p w14:paraId="79166272" w14:textId="77777777" w:rsidR="00042B5E" w:rsidRPr="00080BC7" w:rsidRDefault="00042B5E" w:rsidP="00EC19F3">
            <w:pPr>
              <w:rPr>
                <w:sz w:val="16"/>
                <w:szCs w:val="24"/>
              </w:rPr>
            </w:pPr>
            <w:r w:rsidRPr="00080BC7">
              <w:rPr>
                <w:sz w:val="16"/>
                <w:szCs w:val="24"/>
              </w:rPr>
              <w:t>99%</w:t>
            </w:r>
          </w:p>
        </w:tc>
        <w:tc>
          <w:tcPr>
            <w:tcW w:w="540" w:type="dxa"/>
            <w:vAlign w:val="center"/>
          </w:tcPr>
          <w:p w14:paraId="6ACBB010" w14:textId="77777777" w:rsidR="00042B5E" w:rsidRPr="00080BC7" w:rsidRDefault="00042B5E" w:rsidP="00EC19F3">
            <w:pPr>
              <w:rPr>
                <w:sz w:val="16"/>
                <w:szCs w:val="24"/>
              </w:rPr>
            </w:pPr>
            <w:r w:rsidRPr="00080BC7">
              <w:rPr>
                <w:sz w:val="16"/>
                <w:szCs w:val="24"/>
              </w:rPr>
              <w:t>70%</w:t>
            </w:r>
          </w:p>
        </w:tc>
        <w:tc>
          <w:tcPr>
            <w:tcW w:w="1350" w:type="dxa"/>
            <w:vAlign w:val="center"/>
          </w:tcPr>
          <w:p w14:paraId="232E515F" w14:textId="77777777" w:rsidR="00042B5E" w:rsidRPr="00080BC7" w:rsidRDefault="00042B5E" w:rsidP="00EC19F3">
            <w:pPr>
              <w:rPr>
                <w:sz w:val="16"/>
                <w:szCs w:val="24"/>
              </w:rPr>
            </w:pPr>
            <w:r w:rsidRPr="00080BC7">
              <w:rPr>
                <w:sz w:val="16"/>
                <w:szCs w:val="24"/>
              </w:rPr>
              <w:t>Severe overfitting</w:t>
            </w:r>
          </w:p>
        </w:tc>
      </w:tr>
      <w:tr w:rsidR="00042B5E" w14:paraId="7554A28B" w14:textId="77777777" w:rsidTr="00EC19F3">
        <w:trPr>
          <w:trHeight w:val="859"/>
        </w:trPr>
        <w:tc>
          <w:tcPr>
            <w:tcW w:w="972" w:type="dxa"/>
            <w:vAlign w:val="center"/>
          </w:tcPr>
          <w:p w14:paraId="36A844AA" w14:textId="77777777" w:rsidR="00042B5E" w:rsidRPr="00080BC7" w:rsidRDefault="00042B5E" w:rsidP="00EC19F3">
            <w:pPr>
              <w:rPr>
                <w:sz w:val="16"/>
                <w:szCs w:val="24"/>
              </w:rPr>
            </w:pPr>
            <w:r w:rsidRPr="00080BC7">
              <w:rPr>
                <w:sz w:val="16"/>
                <w:szCs w:val="24"/>
              </w:rPr>
              <w:t>DS_CT9K / CT</w:t>
            </w:r>
          </w:p>
        </w:tc>
        <w:tc>
          <w:tcPr>
            <w:tcW w:w="901" w:type="dxa"/>
            <w:vAlign w:val="center"/>
          </w:tcPr>
          <w:p w14:paraId="705F06FF" w14:textId="77777777" w:rsidR="00042B5E" w:rsidRPr="00080BC7" w:rsidRDefault="00042B5E" w:rsidP="00EC19F3">
            <w:pPr>
              <w:rPr>
                <w:sz w:val="16"/>
                <w:szCs w:val="24"/>
              </w:rPr>
            </w:pPr>
            <w:r w:rsidRPr="00080BC7">
              <w:rPr>
                <w:sz w:val="16"/>
                <w:szCs w:val="24"/>
              </w:rPr>
              <w:t>EM-DenseNet-201</w:t>
            </w:r>
          </w:p>
        </w:tc>
        <w:tc>
          <w:tcPr>
            <w:tcW w:w="797" w:type="dxa"/>
            <w:vAlign w:val="center"/>
          </w:tcPr>
          <w:p w14:paraId="089C4B4B" w14:textId="77777777" w:rsidR="00042B5E" w:rsidRPr="00080BC7" w:rsidRDefault="00042B5E" w:rsidP="00EC19F3">
            <w:pPr>
              <w:rPr>
                <w:sz w:val="16"/>
                <w:szCs w:val="24"/>
              </w:rPr>
            </w:pPr>
            <w:r w:rsidRPr="00080BC7">
              <w:rPr>
                <w:sz w:val="16"/>
                <w:szCs w:val="24"/>
              </w:rPr>
              <w:t>Full fine-tuning</w:t>
            </w:r>
          </w:p>
        </w:tc>
        <w:tc>
          <w:tcPr>
            <w:tcW w:w="678" w:type="dxa"/>
            <w:vAlign w:val="center"/>
          </w:tcPr>
          <w:p w14:paraId="6F012A06" w14:textId="77777777" w:rsidR="00042B5E" w:rsidRPr="00080BC7" w:rsidRDefault="00042B5E" w:rsidP="00EC19F3">
            <w:pPr>
              <w:rPr>
                <w:sz w:val="16"/>
                <w:szCs w:val="24"/>
              </w:rPr>
            </w:pPr>
            <w:r w:rsidRPr="00080BC7">
              <w:rPr>
                <w:sz w:val="16"/>
                <w:szCs w:val="24"/>
              </w:rPr>
              <w:t>100%</w:t>
            </w:r>
          </w:p>
        </w:tc>
        <w:tc>
          <w:tcPr>
            <w:tcW w:w="540" w:type="dxa"/>
            <w:vAlign w:val="center"/>
          </w:tcPr>
          <w:p w14:paraId="1AB627B6" w14:textId="77777777" w:rsidR="00042B5E" w:rsidRPr="00080BC7" w:rsidRDefault="00042B5E" w:rsidP="00EC19F3">
            <w:pPr>
              <w:rPr>
                <w:sz w:val="16"/>
                <w:szCs w:val="24"/>
              </w:rPr>
            </w:pPr>
            <w:r w:rsidRPr="00080BC7">
              <w:rPr>
                <w:sz w:val="16"/>
                <w:szCs w:val="24"/>
              </w:rPr>
              <w:t>99%</w:t>
            </w:r>
          </w:p>
        </w:tc>
        <w:tc>
          <w:tcPr>
            <w:tcW w:w="1350" w:type="dxa"/>
            <w:vAlign w:val="center"/>
          </w:tcPr>
          <w:p w14:paraId="591E2A96" w14:textId="77777777" w:rsidR="00042B5E" w:rsidRPr="00080BC7" w:rsidRDefault="00042B5E" w:rsidP="00EC19F3">
            <w:pPr>
              <w:rPr>
                <w:sz w:val="16"/>
                <w:szCs w:val="24"/>
              </w:rPr>
            </w:pPr>
            <w:r w:rsidRPr="00080BC7">
              <w:rPr>
                <w:sz w:val="16"/>
                <w:szCs w:val="24"/>
              </w:rPr>
              <w:t>19 incorrect predictions; normal class F1-score 100%</w:t>
            </w:r>
          </w:p>
        </w:tc>
      </w:tr>
      <w:tr w:rsidR="00042B5E" w14:paraId="6F261AD3" w14:textId="77777777" w:rsidTr="00EC19F3">
        <w:trPr>
          <w:trHeight w:val="562"/>
        </w:trPr>
        <w:tc>
          <w:tcPr>
            <w:tcW w:w="972" w:type="dxa"/>
            <w:vAlign w:val="center"/>
          </w:tcPr>
          <w:p w14:paraId="4AEC9778" w14:textId="77777777" w:rsidR="00042B5E" w:rsidRPr="00080BC7" w:rsidRDefault="00042B5E" w:rsidP="00EC19F3">
            <w:pPr>
              <w:rPr>
                <w:sz w:val="16"/>
                <w:szCs w:val="24"/>
              </w:rPr>
            </w:pPr>
            <w:r w:rsidRPr="00080BC7">
              <w:rPr>
                <w:sz w:val="16"/>
                <w:szCs w:val="24"/>
              </w:rPr>
              <w:lastRenderedPageBreak/>
              <w:t>DS_CT9K / CT</w:t>
            </w:r>
          </w:p>
        </w:tc>
        <w:tc>
          <w:tcPr>
            <w:tcW w:w="901" w:type="dxa"/>
            <w:vAlign w:val="center"/>
          </w:tcPr>
          <w:p w14:paraId="717BC2DD" w14:textId="77777777" w:rsidR="00042B5E" w:rsidRPr="00080BC7" w:rsidRDefault="00042B5E" w:rsidP="00EC19F3">
            <w:pPr>
              <w:rPr>
                <w:sz w:val="16"/>
                <w:szCs w:val="24"/>
              </w:rPr>
            </w:pPr>
            <w:r w:rsidRPr="00080BC7">
              <w:rPr>
                <w:sz w:val="16"/>
                <w:szCs w:val="24"/>
              </w:rPr>
              <w:t>M-VGG-16</w:t>
            </w:r>
          </w:p>
        </w:tc>
        <w:tc>
          <w:tcPr>
            <w:tcW w:w="797" w:type="dxa"/>
            <w:vAlign w:val="center"/>
          </w:tcPr>
          <w:p w14:paraId="33EF842F" w14:textId="77777777" w:rsidR="00042B5E" w:rsidRPr="00080BC7" w:rsidRDefault="00042B5E" w:rsidP="00EC19F3">
            <w:pPr>
              <w:rPr>
                <w:sz w:val="16"/>
                <w:szCs w:val="24"/>
              </w:rPr>
            </w:pPr>
            <w:r w:rsidRPr="00080BC7">
              <w:rPr>
                <w:sz w:val="16"/>
                <w:szCs w:val="24"/>
              </w:rPr>
              <w:t>Frozen feature layers</w:t>
            </w:r>
          </w:p>
        </w:tc>
        <w:tc>
          <w:tcPr>
            <w:tcW w:w="678" w:type="dxa"/>
            <w:vAlign w:val="center"/>
          </w:tcPr>
          <w:p w14:paraId="06AEC822" w14:textId="77777777" w:rsidR="00042B5E" w:rsidRPr="00080BC7" w:rsidRDefault="00042B5E" w:rsidP="00EC19F3">
            <w:pPr>
              <w:rPr>
                <w:sz w:val="16"/>
                <w:szCs w:val="24"/>
              </w:rPr>
            </w:pPr>
            <w:r w:rsidRPr="00080BC7">
              <w:rPr>
                <w:sz w:val="16"/>
                <w:szCs w:val="24"/>
              </w:rPr>
              <w:t>100%</w:t>
            </w:r>
          </w:p>
        </w:tc>
        <w:tc>
          <w:tcPr>
            <w:tcW w:w="540" w:type="dxa"/>
            <w:vAlign w:val="center"/>
          </w:tcPr>
          <w:p w14:paraId="7A4077A5" w14:textId="77777777" w:rsidR="00042B5E" w:rsidRPr="00080BC7" w:rsidRDefault="00042B5E" w:rsidP="00EC19F3">
            <w:pPr>
              <w:rPr>
                <w:sz w:val="16"/>
                <w:szCs w:val="24"/>
              </w:rPr>
            </w:pPr>
            <w:r w:rsidRPr="00080BC7">
              <w:rPr>
                <w:sz w:val="16"/>
                <w:szCs w:val="24"/>
              </w:rPr>
              <w:t>98%</w:t>
            </w:r>
          </w:p>
        </w:tc>
        <w:tc>
          <w:tcPr>
            <w:tcW w:w="1350" w:type="dxa"/>
            <w:vAlign w:val="center"/>
          </w:tcPr>
          <w:p w14:paraId="163AF718" w14:textId="77777777" w:rsidR="00042B5E" w:rsidRPr="00080BC7" w:rsidRDefault="00042B5E" w:rsidP="00EC19F3">
            <w:pPr>
              <w:rPr>
                <w:sz w:val="16"/>
                <w:szCs w:val="24"/>
              </w:rPr>
            </w:pPr>
            <w:r w:rsidRPr="00080BC7">
              <w:rPr>
                <w:sz w:val="16"/>
                <w:szCs w:val="24"/>
              </w:rPr>
              <w:t>Best frozen-feature CT model</w:t>
            </w:r>
          </w:p>
        </w:tc>
      </w:tr>
      <w:tr w:rsidR="00042B5E" w14:paraId="21522C5D" w14:textId="77777777" w:rsidTr="00EC19F3">
        <w:trPr>
          <w:trHeight w:val="827"/>
        </w:trPr>
        <w:tc>
          <w:tcPr>
            <w:tcW w:w="972" w:type="dxa"/>
            <w:vAlign w:val="center"/>
          </w:tcPr>
          <w:p w14:paraId="23DFF8F4" w14:textId="77777777" w:rsidR="00042B5E" w:rsidRPr="00080BC7" w:rsidRDefault="00042B5E" w:rsidP="00EC19F3">
            <w:pPr>
              <w:rPr>
                <w:sz w:val="16"/>
                <w:szCs w:val="24"/>
              </w:rPr>
            </w:pPr>
            <w:r w:rsidRPr="00080BC7">
              <w:rPr>
                <w:sz w:val="16"/>
                <w:szCs w:val="24"/>
              </w:rPr>
              <w:t>DS_CT9K / CT</w:t>
            </w:r>
          </w:p>
        </w:tc>
        <w:tc>
          <w:tcPr>
            <w:tcW w:w="901" w:type="dxa"/>
            <w:vAlign w:val="center"/>
          </w:tcPr>
          <w:p w14:paraId="625E7C7C" w14:textId="77777777" w:rsidR="00042B5E" w:rsidRPr="00080BC7" w:rsidRDefault="00042B5E" w:rsidP="00EC19F3">
            <w:pPr>
              <w:rPr>
                <w:sz w:val="16"/>
                <w:szCs w:val="24"/>
              </w:rPr>
            </w:pPr>
            <w:r w:rsidRPr="00080BC7">
              <w:rPr>
                <w:sz w:val="16"/>
                <w:szCs w:val="24"/>
              </w:rPr>
              <w:t>EM-VGG-16</w:t>
            </w:r>
          </w:p>
        </w:tc>
        <w:tc>
          <w:tcPr>
            <w:tcW w:w="797" w:type="dxa"/>
            <w:vAlign w:val="center"/>
          </w:tcPr>
          <w:p w14:paraId="5DDA84B3" w14:textId="77777777" w:rsidR="00042B5E" w:rsidRPr="00080BC7" w:rsidRDefault="00042B5E" w:rsidP="00EC19F3">
            <w:pPr>
              <w:rPr>
                <w:sz w:val="16"/>
                <w:szCs w:val="24"/>
              </w:rPr>
            </w:pPr>
            <w:r w:rsidRPr="00080BC7">
              <w:rPr>
                <w:sz w:val="16"/>
                <w:szCs w:val="24"/>
              </w:rPr>
              <w:t>Full fine-tuning</w:t>
            </w:r>
          </w:p>
        </w:tc>
        <w:tc>
          <w:tcPr>
            <w:tcW w:w="678" w:type="dxa"/>
            <w:vAlign w:val="center"/>
          </w:tcPr>
          <w:p w14:paraId="2321B732" w14:textId="77777777" w:rsidR="00042B5E" w:rsidRPr="00080BC7" w:rsidRDefault="00042B5E" w:rsidP="00EC19F3">
            <w:pPr>
              <w:rPr>
                <w:sz w:val="16"/>
                <w:szCs w:val="24"/>
              </w:rPr>
            </w:pPr>
            <w:r w:rsidRPr="00080BC7">
              <w:rPr>
                <w:sz w:val="16"/>
                <w:szCs w:val="24"/>
              </w:rPr>
              <w:t>100%</w:t>
            </w:r>
          </w:p>
        </w:tc>
        <w:tc>
          <w:tcPr>
            <w:tcW w:w="540" w:type="dxa"/>
            <w:vAlign w:val="center"/>
          </w:tcPr>
          <w:p w14:paraId="5F7DCFC8" w14:textId="77777777" w:rsidR="00042B5E" w:rsidRPr="00080BC7" w:rsidRDefault="00042B5E" w:rsidP="00EC19F3">
            <w:pPr>
              <w:rPr>
                <w:sz w:val="16"/>
                <w:szCs w:val="24"/>
              </w:rPr>
            </w:pPr>
            <w:r w:rsidRPr="00080BC7">
              <w:rPr>
                <w:sz w:val="16"/>
                <w:szCs w:val="24"/>
              </w:rPr>
              <w:t>99%</w:t>
            </w:r>
          </w:p>
        </w:tc>
        <w:tc>
          <w:tcPr>
            <w:tcW w:w="1350" w:type="dxa"/>
            <w:vAlign w:val="center"/>
          </w:tcPr>
          <w:p w14:paraId="78990498" w14:textId="77777777" w:rsidR="00042B5E" w:rsidRPr="00080BC7" w:rsidRDefault="00042B5E" w:rsidP="00EC19F3">
            <w:pPr>
              <w:rPr>
                <w:sz w:val="16"/>
                <w:szCs w:val="24"/>
              </w:rPr>
            </w:pPr>
            <w:r w:rsidRPr="00080BC7">
              <w:rPr>
                <w:sz w:val="16"/>
                <w:szCs w:val="24"/>
              </w:rPr>
              <w:t>19 incorrect predictions; normal class fully classified</w:t>
            </w:r>
          </w:p>
        </w:tc>
      </w:tr>
      <w:tr w:rsidR="00042B5E" w14:paraId="7EE02A6A" w14:textId="77777777" w:rsidTr="00EC19F3">
        <w:trPr>
          <w:trHeight w:val="264"/>
        </w:trPr>
        <w:tc>
          <w:tcPr>
            <w:tcW w:w="972" w:type="dxa"/>
            <w:vAlign w:val="center"/>
          </w:tcPr>
          <w:p w14:paraId="687CAA0C" w14:textId="77777777" w:rsidR="00042B5E" w:rsidRPr="00080BC7" w:rsidRDefault="00042B5E" w:rsidP="00EC19F3">
            <w:pPr>
              <w:rPr>
                <w:sz w:val="16"/>
                <w:szCs w:val="24"/>
              </w:rPr>
            </w:pPr>
            <w:r w:rsidRPr="00080BC7">
              <w:rPr>
                <w:sz w:val="16"/>
                <w:szCs w:val="24"/>
              </w:rPr>
              <w:t>DS_CT9K / CT</w:t>
            </w:r>
          </w:p>
        </w:tc>
        <w:tc>
          <w:tcPr>
            <w:tcW w:w="901" w:type="dxa"/>
            <w:vAlign w:val="center"/>
          </w:tcPr>
          <w:p w14:paraId="11948C64" w14:textId="77777777" w:rsidR="00042B5E" w:rsidRPr="00080BC7" w:rsidRDefault="00042B5E" w:rsidP="00EC19F3">
            <w:pPr>
              <w:rPr>
                <w:sz w:val="16"/>
                <w:szCs w:val="24"/>
              </w:rPr>
            </w:pPr>
            <w:r w:rsidRPr="00080BC7">
              <w:rPr>
                <w:sz w:val="16"/>
                <w:szCs w:val="24"/>
              </w:rPr>
              <w:t>M-Inception-v3</w:t>
            </w:r>
          </w:p>
        </w:tc>
        <w:tc>
          <w:tcPr>
            <w:tcW w:w="797" w:type="dxa"/>
            <w:vAlign w:val="center"/>
          </w:tcPr>
          <w:p w14:paraId="0ADA9FBD" w14:textId="77777777" w:rsidR="00042B5E" w:rsidRPr="00080BC7" w:rsidRDefault="00042B5E" w:rsidP="00EC19F3">
            <w:pPr>
              <w:rPr>
                <w:sz w:val="16"/>
                <w:szCs w:val="24"/>
              </w:rPr>
            </w:pPr>
            <w:r w:rsidRPr="00080BC7">
              <w:rPr>
                <w:sz w:val="16"/>
                <w:szCs w:val="24"/>
              </w:rPr>
              <w:t>Frozen feature layers</w:t>
            </w:r>
          </w:p>
        </w:tc>
        <w:tc>
          <w:tcPr>
            <w:tcW w:w="678" w:type="dxa"/>
            <w:vAlign w:val="center"/>
          </w:tcPr>
          <w:p w14:paraId="002ECD1C" w14:textId="77777777" w:rsidR="00042B5E" w:rsidRPr="00080BC7" w:rsidRDefault="00042B5E" w:rsidP="00EC19F3">
            <w:pPr>
              <w:rPr>
                <w:sz w:val="16"/>
                <w:szCs w:val="24"/>
              </w:rPr>
            </w:pPr>
            <w:r w:rsidRPr="00080BC7">
              <w:rPr>
                <w:sz w:val="16"/>
                <w:szCs w:val="24"/>
              </w:rPr>
              <w:t>89%</w:t>
            </w:r>
          </w:p>
        </w:tc>
        <w:tc>
          <w:tcPr>
            <w:tcW w:w="540" w:type="dxa"/>
            <w:vAlign w:val="center"/>
          </w:tcPr>
          <w:p w14:paraId="1E7F6E89" w14:textId="77777777" w:rsidR="00042B5E" w:rsidRPr="00080BC7" w:rsidRDefault="00042B5E" w:rsidP="00EC19F3">
            <w:pPr>
              <w:rPr>
                <w:sz w:val="16"/>
                <w:szCs w:val="24"/>
              </w:rPr>
            </w:pPr>
            <w:r w:rsidRPr="00080BC7">
              <w:rPr>
                <w:sz w:val="16"/>
                <w:szCs w:val="24"/>
              </w:rPr>
              <w:t>63%</w:t>
            </w:r>
          </w:p>
        </w:tc>
        <w:tc>
          <w:tcPr>
            <w:tcW w:w="1350" w:type="dxa"/>
            <w:vAlign w:val="center"/>
          </w:tcPr>
          <w:p w14:paraId="19C03C90" w14:textId="77777777" w:rsidR="00042B5E" w:rsidRPr="00080BC7" w:rsidRDefault="00042B5E" w:rsidP="00EC19F3">
            <w:pPr>
              <w:rPr>
                <w:sz w:val="16"/>
                <w:szCs w:val="24"/>
              </w:rPr>
            </w:pPr>
            <w:r w:rsidRPr="00080BC7">
              <w:rPr>
                <w:sz w:val="16"/>
                <w:szCs w:val="24"/>
              </w:rPr>
              <w:t>Severe overfitting</w:t>
            </w:r>
          </w:p>
        </w:tc>
      </w:tr>
      <w:tr w:rsidR="00042B5E" w14:paraId="3A8ED912" w14:textId="77777777" w:rsidTr="00EC19F3">
        <w:trPr>
          <w:trHeight w:val="827"/>
        </w:trPr>
        <w:tc>
          <w:tcPr>
            <w:tcW w:w="972" w:type="dxa"/>
            <w:vAlign w:val="center"/>
          </w:tcPr>
          <w:p w14:paraId="78C816FF" w14:textId="77777777" w:rsidR="00042B5E" w:rsidRPr="00080BC7" w:rsidRDefault="00042B5E" w:rsidP="00EC19F3">
            <w:pPr>
              <w:rPr>
                <w:sz w:val="16"/>
                <w:szCs w:val="24"/>
              </w:rPr>
            </w:pPr>
            <w:r w:rsidRPr="00080BC7">
              <w:rPr>
                <w:sz w:val="16"/>
                <w:szCs w:val="24"/>
              </w:rPr>
              <w:t>DS_CT9K / CT</w:t>
            </w:r>
          </w:p>
        </w:tc>
        <w:tc>
          <w:tcPr>
            <w:tcW w:w="901" w:type="dxa"/>
            <w:vAlign w:val="center"/>
          </w:tcPr>
          <w:p w14:paraId="2F272375" w14:textId="77777777" w:rsidR="00042B5E" w:rsidRPr="00080BC7" w:rsidRDefault="00042B5E" w:rsidP="00EC19F3">
            <w:pPr>
              <w:rPr>
                <w:sz w:val="16"/>
                <w:szCs w:val="24"/>
              </w:rPr>
            </w:pPr>
            <w:r w:rsidRPr="00080BC7">
              <w:rPr>
                <w:sz w:val="16"/>
                <w:szCs w:val="24"/>
              </w:rPr>
              <w:t>EM-Inception-v3</w:t>
            </w:r>
          </w:p>
        </w:tc>
        <w:tc>
          <w:tcPr>
            <w:tcW w:w="797" w:type="dxa"/>
            <w:vAlign w:val="center"/>
          </w:tcPr>
          <w:p w14:paraId="0B880BDC" w14:textId="77777777" w:rsidR="00042B5E" w:rsidRPr="00080BC7" w:rsidRDefault="00042B5E" w:rsidP="00EC19F3">
            <w:pPr>
              <w:rPr>
                <w:sz w:val="16"/>
                <w:szCs w:val="24"/>
              </w:rPr>
            </w:pPr>
            <w:r w:rsidRPr="00080BC7">
              <w:rPr>
                <w:sz w:val="16"/>
                <w:szCs w:val="24"/>
              </w:rPr>
              <w:t>Full fine-tuning</w:t>
            </w:r>
          </w:p>
        </w:tc>
        <w:tc>
          <w:tcPr>
            <w:tcW w:w="678" w:type="dxa"/>
            <w:vAlign w:val="center"/>
          </w:tcPr>
          <w:p w14:paraId="7D3BADEA" w14:textId="77777777" w:rsidR="00042B5E" w:rsidRPr="00080BC7" w:rsidRDefault="00042B5E" w:rsidP="00EC19F3">
            <w:pPr>
              <w:rPr>
                <w:sz w:val="16"/>
                <w:szCs w:val="24"/>
              </w:rPr>
            </w:pPr>
            <w:r w:rsidRPr="00080BC7">
              <w:rPr>
                <w:sz w:val="16"/>
                <w:szCs w:val="24"/>
              </w:rPr>
              <w:t>100%</w:t>
            </w:r>
          </w:p>
        </w:tc>
        <w:tc>
          <w:tcPr>
            <w:tcW w:w="540" w:type="dxa"/>
            <w:vAlign w:val="center"/>
          </w:tcPr>
          <w:p w14:paraId="758BF6A5" w14:textId="77777777" w:rsidR="00042B5E" w:rsidRPr="00080BC7" w:rsidRDefault="00042B5E" w:rsidP="00EC19F3">
            <w:pPr>
              <w:rPr>
                <w:sz w:val="16"/>
                <w:szCs w:val="24"/>
              </w:rPr>
            </w:pPr>
            <w:r w:rsidRPr="00080BC7">
              <w:rPr>
                <w:sz w:val="16"/>
                <w:szCs w:val="24"/>
              </w:rPr>
              <w:t>99%</w:t>
            </w:r>
          </w:p>
        </w:tc>
        <w:tc>
          <w:tcPr>
            <w:tcW w:w="1350" w:type="dxa"/>
            <w:vAlign w:val="center"/>
          </w:tcPr>
          <w:p w14:paraId="158215E6" w14:textId="77777777" w:rsidR="00042B5E" w:rsidRPr="00080BC7" w:rsidRDefault="00042B5E" w:rsidP="00EC19F3">
            <w:pPr>
              <w:rPr>
                <w:sz w:val="16"/>
                <w:szCs w:val="24"/>
              </w:rPr>
            </w:pPr>
            <w:r w:rsidRPr="00080BC7">
              <w:rPr>
                <w:sz w:val="16"/>
                <w:szCs w:val="24"/>
              </w:rPr>
              <w:t>Strong CT result; COVID-19 and pneumonia F1-score 99%</w:t>
            </w:r>
          </w:p>
        </w:tc>
      </w:tr>
    </w:tbl>
    <w:p w14:paraId="152A4A14" w14:textId="77777777" w:rsidR="00042B5E" w:rsidRDefault="00042B5E" w:rsidP="00042B5E">
      <w:pPr>
        <w:spacing w:line="276" w:lineRule="auto"/>
      </w:pPr>
    </w:p>
    <w:p w14:paraId="1268A022" w14:textId="77777777" w:rsidR="00042B5E" w:rsidRDefault="00042B5E" w:rsidP="00042B5E">
      <w:r w:rsidRPr="00E15782">
        <w:t>TABLE III. COMPARISON WITH PREVIOUS STUDIES</w:t>
      </w:r>
    </w:p>
    <w:tbl>
      <w:tblPr>
        <w:tblpPr w:leftFromText="180" w:rightFromText="180" w:vertAnchor="text" w:horzAnchor="page" w:tblpX="451" w:tblpY="254"/>
        <w:tblW w:w="5598" w:type="dxa"/>
        <w:tblBorders>
          <w:top w:val="single" w:sz="6" w:space="0" w:color="000000"/>
          <w:left w:val="single" w:sz="12" w:space="0" w:color="000000"/>
          <w:bottom w:val="single" w:sz="6" w:space="0" w:color="000000"/>
          <w:right w:val="single" w:sz="12" w:space="0" w:color="000000"/>
          <w:insideV w:val="single" w:sz="6" w:space="0" w:color="000000"/>
        </w:tblBorders>
        <w:tblLayout w:type="fixed"/>
        <w:tblLook w:val="04A0" w:firstRow="1" w:lastRow="0" w:firstColumn="1" w:lastColumn="0" w:noHBand="0" w:noVBand="1"/>
      </w:tblPr>
      <w:tblGrid>
        <w:gridCol w:w="918"/>
        <w:gridCol w:w="671"/>
        <w:gridCol w:w="1032"/>
        <w:gridCol w:w="1220"/>
        <w:gridCol w:w="677"/>
        <w:gridCol w:w="1080"/>
      </w:tblGrid>
      <w:tr w:rsidR="00042B5E" w14:paraId="00BF6F0D" w14:textId="77777777" w:rsidTr="00EC19F3">
        <w:trPr>
          <w:trHeight w:val="921"/>
        </w:trPr>
        <w:tc>
          <w:tcPr>
            <w:tcW w:w="918" w:type="dxa"/>
            <w:tcBorders>
              <w:bottom w:val="single" w:sz="6" w:space="0" w:color="000000"/>
            </w:tcBorders>
            <w:shd w:val="pct30" w:color="FFFF00" w:fill="FFFFFF"/>
            <w:vAlign w:val="center"/>
          </w:tcPr>
          <w:p w14:paraId="52D3FB09" w14:textId="77777777" w:rsidR="00042B5E" w:rsidRPr="00080BC7" w:rsidRDefault="00042B5E" w:rsidP="00EC19F3">
            <w:pPr>
              <w:rPr>
                <w:sz w:val="16"/>
                <w:szCs w:val="16"/>
              </w:rPr>
            </w:pPr>
            <w:r w:rsidRPr="00080BC7">
              <w:rPr>
                <w:b/>
                <w:sz w:val="16"/>
                <w:szCs w:val="16"/>
              </w:rPr>
              <w:t>Study</w:t>
            </w:r>
          </w:p>
        </w:tc>
        <w:tc>
          <w:tcPr>
            <w:tcW w:w="671" w:type="dxa"/>
            <w:tcBorders>
              <w:bottom w:val="single" w:sz="6" w:space="0" w:color="000000"/>
            </w:tcBorders>
            <w:shd w:val="pct30" w:color="FFFF00" w:fill="FFFFFF"/>
            <w:vAlign w:val="center"/>
          </w:tcPr>
          <w:p w14:paraId="29527B70" w14:textId="77777777" w:rsidR="00042B5E" w:rsidRPr="00080BC7" w:rsidRDefault="00042B5E" w:rsidP="00EC19F3">
            <w:pPr>
              <w:rPr>
                <w:sz w:val="16"/>
                <w:szCs w:val="16"/>
              </w:rPr>
            </w:pPr>
            <w:r w:rsidRPr="00080BC7">
              <w:rPr>
                <w:b/>
                <w:sz w:val="16"/>
                <w:szCs w:val="16"/>
              </w:rPr>
              <w:t>Modality</w:t>
            </w:r>
          </w:p>
        </w:tc>
        <w:tc>
          <w:tcPr>
            <w:tcW w:w="1032" w:type="dxa"/>
            <w:tcBorders>
              <w:bottom w:val="single" w:sz="6" w:space="0" w:color="000000"/>
            </w:tcBorders>
            <w:shd w:val="pct30" w:color="FFFF00" w:fill="FFFFFF"/>
            <w:vAlign w:val="center"/>
          </w:tcPr>
          <w:p w14:paraId="5C563221" w14:textId="77777777" w:rsidR="00042B5E" w:rsidRPr="00080BC7" w:rsidRDefault="00042B5E" w:rsidP="00EC19F3">
            <w:pPr>
              <w:rPr>
                <w:sz w:val="16"/>
                <w:szCs w:val="16"/>
              </w:rPr>
            </w:pPr>
            <w:r w:rsidRPr="00080BC7">
              <w:rPr>
                <w:b/>
                <w:sz w:val="16"/>
                <w:szCs w:val="16"/>
              </w:rPr>
              <w:t>Method</w:t>
            </w:r>
          </w:p>
        </w:tc>
        <w:tc>
          <w:tcPr>
            <w:tcW w:w="1220" w:type="dxa"/>
            <w:tcBorders>
              <w:bottom w:val="single" w:sz="6" w:space="0" w:color="000000"/>
            </w:tcBorders>
            <w:shd w:val="pct30" w:color="FFFF00" w:fill="FFFFFF"/>
            <w:vAlign w:val="center"/>
          </w:tcPr>
          <w:p w14:paraId="71CE0FE6" w14:textId="77777777" w:rsidR="00042B5E" w:rsidRPr="00080BC7" w:rsidRDefault="00042B5E" w:rsidP="00EC19F3">
            <w:pPr>
              <w:rPr>
                <w:sz w:val="16"/>
                <w:szCs w:val="16"/>
              </w:rPr>
            </w:pPr>
            <w:r w:rsidRPr="00080BC7">
              <w:rPr>
                <w:b/>
                <w:sz w:val="16"/>
                <w:szCs w:val="16"/>
              </w:rPr>
              <w:t>Dataset/Classes</w:t>
            </w:r>
          </w:p>
        </w:tc>
        <w:tc>
          <w:tcPr>
            <w:tcW w:w="677" w:type="dxa"/>
            <w:tcBorders>
              <w:bottom w:val="single" w:sz="6" w:space="0" w:color="000000"/>
            </w:tcBorders>
            <w:shd w:val="pct30" w:color="FFFF00" w:fill="FFFFFF"/>
            <w:vAlign w:val="center"/>
          </w:tcPr>
          <w:p w14:paraId="0944EAB0" w14:textId="77777777" w:rsidR="00042B5E" w:rsidRPr="00080BC7" w:rsidRDefault="00042B5E" w:rsidP="00EC19F3">
            <w:pPr>
              <w:rPr>
                <w:sz w:val="16"/>
                <w:szCs w:val="16"/>
              </w:rPr>
            </w:pPr>
            <w:r w:rsidRPr="00080BC7">
              <w:rPr>
                <w:b/>
                <w:sz w:val="16"/>
                <w:szCs w:val="16"/>
              </w:rPr>
              <w:t>Accuracy</w:t>
            </w:r>
          </w:p>
        </w:tc>
        <w:tc>
          <w:tcPr>
            <w:tcW w:w="1080" w:type="dxa"/>
            <w:tcBorders>
              <w:bottom w:val="single" w:sz="6" w:space="0" w:color="000000"/>
            </w:tcBorders>
            <w:shd w:val="pct30" w:color="FFFF00" w:fill="FFFFFF"/>
            <w:vAlign w:val="center"/>
          </w:tcPr>
          <w:p w14:paraId="33EC066E" w14:textId="77777777" w:rsidR="00042B5E" w:rsidRPr="00080BC7" w:rsidRDefault="00042B5E" w:rsidP="00EC19F3">
            <w:pPr>
              <w:rPr>
                <w:sz w:val="16"/>
                <w:szCs w:val="16"/>
              </w:rPr>
            </w:pPr>
            <w:r w:rsidRPr="00080BC7">
              <w:rPr>
                <w:b/>
                <w:sz w:val="16"/>
                <w:szCs w:val="16"/>
              </w:rPr>
              <w:t>Limitation compared with this paper</w:t>
            </w:r>
          </w:p>
        </w:tc>
      </w:tr>
      <w:tr w:rsidR="00042B5E" w14:paraId="7CFCDBFA" w14:textId="77777777" w:rsidTr="00EC19F3">
        <w:trPr>
          <w:trHeight w:val="21"/>
        </w:trPr>
        <w:tc>
          <w:tcPr>
            <w:tcW w:w="918" w:type="dxa"/>
            <w:vAlign w:val="center"/>
          </w:tcPr>
          <w:p w14:paraId="4B13E4F8" w14:textId="77777777" w:rsidR="00042B5E" w:rsidRPr="00080BC7" w:rsidRDefault="00042B5E" w:rsidP="00EC19F3">
            <w:pPr>
              <w:rPr>
                <w:sz w:val="16"/>
                <w:szCs w:val="16"/>
              </w:rPr>
            </w:pPr>
            <w:r w:rsidRPr="00080BC7">
              <w:rPr>
                <w:sz w:val="16"/>
                <w:szCs w:val="16"/>
              </w:rPr>
              <w:t>Ozturk et al. [11]</w:t>
            </w:r>
          </w:p>
        </w:tc>
        <w:tc>
          <w:tcPr>
            <w:tcW w:w="671" w:type="dxa"/>
            <w:vAlign w:val="center"/>
          </w:tcPr>
          <w:p w14:paraId="5543CE1E" w14:textId="77777777" w:rsidR="00042B5E" w:rsidRPr="00080BC7" w:rsidRDefault="00042B5E" w:rsidP="00EC19F3">
            <w:pPr>
              <w:rPr>
                <w:sz w:val="16"/>
                <w:szCs w:val="16"/>
              </w:rPr>
            </w:pPr>
            <w:r w:rsidRPr="00080BC7">
              <w:rPr>
                <w:sz w:val="16"/>
                <w:szCs w:val="16"/>
              </w:rPr>
              <w:t>CXR</w:t>
            </w:r>
          </w:p>
        </w:tc>
        <w:tc>
          <w:tcPr>
            <w:tcW w:w="1032" w:type="dxa"/>
            <w:vAlign w:val="center"/>
          </w:tcPr>
          <w:p w14:paraId="254739E7" w14:textId="77777777" w:rsidR="00042B5E" w:rsidRPr="00080BC7" w:rsidRDefault="00042B5E" w:rsidP="00EC19F3">
            <w:pPr>
              <w:rPr>
                <w:sz w:val="16"/>
                <w:szCs w:val="16"/>
              </w:rPr>
            </w:pPr>
            <w:proofErr w:type="spellStart"/>
            <w:r w:rsidRPr="00080BC7">
              <w:rPr>
                <w:sz w:val="16"/>
                <w:szCs w:val="16"/>
              </w:rPr>
              <w:t>DarkCovidNet</w:t>
            </w:r>
            <w:proofErr w:type="spellEnd"/>
          </w:p>
        </w:tc>
        <w:tc>
          <w:tcPr>
            <w:tcW w:w="1220" w:type="dxa"/>
            <w:vAlign w:val="center"/>
          </w:tcPr>
          <w:p w14:paraId="38852710" w14:textId="77777777" w:rsidR="00042B5E" w:rsidRPr="00080BC7" w:rsidRDefault="00042B5E" w:rsidP="00EC19F3">
            <w:pPr>
              <w:rPr>
                <w:sz w:val="16"/>
                <w:szCs w:val="16"/>
              </w:rPr>
            </w:pPr>
            <w:r w:rsidRPr="00080BC7">
              <w:rPr>
                <w:sz w:val="16"/>
                <w:szCs w:val="16"/>
              </w:rPr>
              <w:t>COVID-19, pneumonia, normal</w:t>
            </w:r>
          </w:p>
        </w:tc>
        <w:tc>
          <w:tcPr>
            <w:tcW w:w="677" w:type="dxa"/>
            <w:vAlign w:val="center"/>
          </w:tcPr>
          <w:p w14:paraId="673869FA" w14:textId="77777777" w:rsidR="00042B5E" w:rsidRPr="00080BC7" w:rsidRDefault="00042B5E" w:rsidP="00EC19F3">
            <w:pPr>
              <w:rPr>
                <w:sz w:val="16"/>
                <w:szCs w:val="16"/>
              </w:rPr>
            </w:pPr>
            <w:r w:rsidRPr="00080BC7">
              <w:rPr>
                <w:sz w:val="16"/>
                <w:szCs w:val="16"/>
              </w:rPr>
              <w:t>87% three-class; 98% binary</w:t>
            </w:r>
          </w:p>
        </w:tc>
        <w:tc>
          <w:tcPr>
            <w:tcW w:w="1080" w:type="dxa"/>
            <w:vAlign w:val="center"/>
          </w:tcPr>
          <w:p w14:paraId="7A467B80" w14:textId="77777777" w:rsidR="00042B5E" w:rsidRPr="00080BC7" w:rsidRDefault="00042B5E" w:rsidP="00EC19F3">
            <w:pPr>
              <w:rPr>
                <w:sz w:val="16"/>
                <w:szCs w:val="16"/>
              </w:rPr>
            </w:pPr>
            <w:r w:rsidRPr="00080BC7">
              <w:rPr>
                <w:sz w:val="16"/>
                <w:szCs w:val="16"/>
              </w:rPr>
              <w:t>Small COVID-19 class</w:t>
            </w:r>
          </w:p>
        </w:tc>
      </w:tr>
      <w:tr w:rsidR="00042B5E" w14:paraId="5B16A2D8" w14:textId="77777777" w:rsidTr="00EC19F3">
        <w:trPr>
          <w:trHeight w:val="21"/>
        </w:trPr>
        <w:tc>
          <w:tcPr>
            <w:tcW w:w="918" w:type="dxa"/>
            <w:vAlign w:val="center"/>
          </w:tcPr>
          <w:p w14:paraId="0B8FF70A" w14:textId="77777777" w:rsidR="00042B5E" w:rsidRPr="00080BC7" w:rsidRDefault="00042B5E" w:rsidP="00EC19F3">
            <w:pPr>
              <w:rPr>
                <w:sz w:val="16"/>
                <w:szCs w:val="16"/>
              </w:rPr>
            </w:pPr>
            <w:r w:rsidRPr="00080BC7">
              <w:rPr>
                <w:sz w:val="16"/>
                <w:szCs w:val="16"/>
              </w:rPr>
              <w:t>Wang et al. [12]</w:t>
            </w:r>
          </w:p>
        </w:tc>
        <w:tc>
          <w:tcPr>
            <w:tcW w:w="671" w:type="dxa"/>
            <w:vAlign w:val="center"/>
          </w:tcPr>
          <w:p w14:paraId="2D04FFCB" w14:textId="77777777" w:rsidR="00042B5E" w:rsidRPr="00080BC7" w:rsidRDefault="00042B5E" w:rsidP="00EC19F3">
            <w:pPr>
              <w:rPr>
                <w:sz w:val="16"/>
                <w:szCs w:val="16"/>
              </w:rPr>
            </w:pPr>
            <w:r w:rsidRPr="00080BC7">
              <w:rPr>
                <w:sz w:val="16"/>
                <w:szCs w:val="16"/>
              </w:rPr>
              <w:t>CXR</w:t>
            </w:r>
          </w:p>
        </w:tc>
        <w:tc>
          <w:tcPr>
            <w:tcW w:w="1032" w:type="dxa"/>
            <w:vAlign w:val="center"/>
          </w:tcPr>
          <w:p w14:paraId="33D5DB53" w14:textId="77777777" w:rsidR="00042B5E" w:rsidRPr="00080BC7" w:rsidRDefault="00042B5E" w:rsidP="00EC19F3">
            <w:pPr>
              <w:rPr>
                <w:sz w:val="16"/>
                <w:szCs w:val="16"/>
              </w:rPr>
            </w:pPr>
            <w:r w:rsidRPr="00080BC7">
              <w:rPr>
                <w:sz w:val="16"/>
                <w:szCs w:val="16"/>
              </w:rPr>
              <w:t>COVID-Net</w:t>
            </w:r>
          </w:p>
        </w:tc>
        <w:tc>
          <w:tcPr>
            <w:tcW w:w="1220" w:type="dxa"/>
            <w:vAlign w:val="center"/>
          </w:tcPr>
          <w:p w14:paraId="2E4BCB0E" w14:textId="77777777" w:rsidR="00042B5E" w:rsidRPr="00080BC7" w:rsidRDefault="00042B5E" w:rsidP="00EC19F3">
            <w:pPr>
              <w:rPr>
                <w:sz w:val="16"/>
                <w:szCs w:val="16"/>
              </w:rPr>
            </w:pPr>
            <w:proofErr w:type="spellStart"/>
            <w:r w:rsidRPr="00080BC7">
              <w:rPr>
                <w:sz w:val="16"/>
                <w:szCs w:val="16"/>
              </w:rPr>
              <w:t>COVIDx</w:t>
            </w:r>
            <w:proofErr w:type="spellEnd"/>
            <w:r w:rsidRPr="00080BC7">
              <w:rPr>
                <w:sz w:val="16"/>
                <w:szCs w:val="16"/>
              </w:rPr>
              <w:t>, 3 classes</w:t>
            </w:r>
          </w:p>
        </w:tc>
        <w:tc>
          <w:tcPr>
            <w:tcW w:w="677" w:type="dxa"/>
            <w:vAlign w:val="center"/>
          </w:tcPr>
          <w:p w14:paraId="2CB9B200" w14:textId="77777777" w:rsidR="00042B5E" w:rsidRPr="00080BC7" w:rsidRDefault="00042B5E" w:rsidP="00EC19F3">
            <w:pPr>
              <w:rPr>
                <w:sz w:val="16"/>
                <w:szCs w:val="16"/>
              </w:rPr>
            </w:pPr>
            <w:r w:rsidRPr="00080BC7">
              <w:rPr>
                <w:sz w:val="16"/>
                <w:szCs w:val="16"/>
              </w:rPr>
              <w:t>92.6–93.3%</w:t>
            </w:r>
          </w:p>
        </w:tc>
        <w:tc>
          <w:tcPr>
            <w:tcW w:w="1080" w:type="dxa"/>
            <w:vAlign w:val="center"/>
          </w:tcPr>
          <w:p w14:paraId="6AEE82A3" w14:textId="77777777" w:rsidR="00042B5E" w:rsidRPr="00080BC7" w:rsidRDefault="00042B5E" w:rsidP="00EC19F3">
            <w:pPr>
              <w:rPr>
                <w:sz w:val="16"/>
                <w:szCs w:val="16"/>
              </w:rPr>
            </w:pPr>
            <w:r w:rsidRPr="00080BC7">
              <w:rPr>
                <w:sz w:val="16"/>
                <w:szCs w:val="16"/>
              </w:rPr>
              <w:t>Imbalanced COVID-19 representation</w:t>
            </w:r>
          </w:p>
        </w:tc>
      </w:tr>
      <w:tr w:rsidR="00042B5E" w14:paraId="3C633A2F" w14:textId="77777777" w:rsidTr="00EC19F3">
        <w:trPr>
          <w:trHeight w:val="21"/>
        </w:trPr>
        <w:tc>
          <w:tcPr>
            <w:tcW w:w="918" w:type="dxa"/>
            <w:vAlign w:val="center"/>
          </w:tcPr>
          <w:p w14:paraId="0E722D96" w14:textId="77777777" w:rsidR="00042B5E" w:rsidRPr="00080BC7" w:rsidRDefault="00042B5E" w:rsidP="00EC19F3">
            <w:pPr>
              <w:rPr>
                <w:sz w:val="16"/>
                <w:szCs w:val="16"/>
              </w:rPr>
            </w:pPr>
            <w:r w:rsidRPr="00080BC7">
              <w:rPr>
                <w:sz w:val="16"/>
                <w:szCs w:val="16"/>
              </w:rPr>
              <w:t>El Houby [7]</w:t>
            </w:r>
          </w:p>
        </w:tc>
        <w:tc>
          <w:tcPr>
            <w:tcW w:w="671" w:type="dxa"/>
            <w:vAlign w:val="center"/>
          </w:tcPr>
          <w:p w14:paraId="4D4B834C" w14:textId="77777777" w:rsidR="00042B5E" w:rsidRPr="00080BC7" w:rsidRDefault="00042B5E" w:rsidP="00EC19F3">
            <w:pPr>
              <w:rPr>
                <w:sz w:val="16"/>
                <w:szCs w:val="16"/>
              </w:rPr>
            </w:pPr>
            <w:r w:rsidRPr="00080BC7">
              <w:rPr>
                <w:sz w:val="16"/>
                <w:szCs w:val="16"/>
              </w:rPr>
              <w:t>CXR</w:t>
            </w:r>
          </w:p>
        </w:tc>
        <w:tc>
          <w:tcPr>
            <w:tcW w:w="1032" w:type="dxa"/>
            <w:vAlign w:val="center"/>
          </w:tcPr>
          <w:p w14:paraId="64F8D01A" w14:textId="77777777" w:rsidR="00042B5E" w:rsidRPr="00080BC7" w:rsidRDefault="00042B5E" w:rsidP="00EC19F3">
            <w:pPr>
              <w:rPr>
                <w:sz w:val="16"/>
                <w:szCs w:val="16"/>
              </w:rPr>
            </w:pPr>
            <w:r w:rsidRPr="00080BC7">
              <w:rPr>
                <w:sz w:val="16"/>
                <w:szCs w:val="16"/>
              </w:rPr>
              <w:t>VGG19 / EfficientNetB0</w:t>
            </w:r>
          </w:p>
        </w:tc>
        <w:tc>
          <w:tcPr>
            <w:tcW w:w="1220" w:type="dxa"/>
            <w:vAlign w:val="center"/>
          </w:tcPr>
          <w:p w14:paraId="385458F3" w14:textId="77777777" w:rsidR="00042B5E" w:rsidRPr="00080BC7" w:rsidRDefault="00042B5E" w:rsidP="00EC19F3">
            <w:pPr>
              <w:rPr>
                <w:sz w:val="16"/>
                <w:szCs w:val="16"/>
              </w:rPr>
            </w:pPr>
            <w:r w:rsidRPr="00080BC7">
              <w:rPr>
                <w:sz w:val="16"/>
                <w:szCs w:val="16"/>
              </w:rPr>
              <w:t>Binary and 4-class CXR</w:t>
            </w:r>
          </w:p>
        </w:tc>
        <w:tc>
          <w:tcPr>
            <w:tcW w:w="677" w:type="dxa"/>
            <w:vAlign w:val="center"/>
          </w:tcPr>
          <w:p w14:paraId="16E54483" w14:textId="77777777" w:rsidR="00042B5E" w:rsidRPr="00080BC7" w:rsidRDefault="00042B5E" w:rsidP="00EC19F3">
            <w:pPr>
              <w:rPr>
                <w:sz w:val="16"/>
                <w:szCs w:val="16"/>
              </w:rPr>
            </w:pPr>
            <w:r w:rsidRPr="00080BC7">
              <w:rPr>
                <w:sz w:val="16"/>
                <w:szCs w:val="16"/>
              </w:rPr>
              <w:t>0.95 binary; 0.935 four-class</w:t>
            </w:r>
          </w:p>
        </w:tc>
        <w:tc>
          <w:tcPr>
            <w:tcW w:w="1080" w:type="dxa"/>
            <w:vAlign w:val="center"/>
          </w:tcPr>
          <w:p w14:paraId="74820E15" w14:textId="77777777" w:rsidR="00042B5E" w:rsidRPr="00080BC7" w:rsidRDefault="00042B5E" w:rsidP="00EC19F3">
            <w:pPr>
              <w:rPr>
                <w:sz w:val="16"/>
                <w:szCs w:val="16"/>
              </w:rPr>
            </w:pPr>
            <w:r w:rsidRPr="00080BC7">
              <w:rPr>
                <w:sz w:val="16"/>
                <w:szCs w:val="16"/>
              </w:rPr>
              <w:t>CXR only</w:t>
            </w:r>
          </w:p>
        </w:tc>
      </w:tr>
      <w:tr w:rsidR="00042B5E" w14:paraId="59538881" w14:textId="77777777" w:rsidTr="00EC19F3">
        <w:trPr>
          <w:trHeight w:val="21"/>
        </w:trPr>
        <w:tc>
          <w:tcPr>
            <w:tcW w:w="918" w:type="dxa"/>
            <w:vAlign w:val="center"/>
          </w:tcPr>
          <w:p w14:paraId="45BBEEF9" w14:textId="77777777" w:rsidR="00042B5E" w:rsidRPr="00080BC7" w:rsidRDefault="00042B5E" w:rsidP="00EC19F3">
            <w:pPr>
              <w:rPr>
                <w:sz w:val="16"/>
                <w:szCs w:val="16"/>
              </w:rPr>
            </w:pPr>
            <w:proofErr w:type="spellStart"/>
            <w:r w:rsidRPr="00080BC7">
              <w:rPr>
                <w:sz w:val="16"/>
                <w:szCs w:val="16"/>
              </w:rPr>
              <w:t>Kordnoori</w:t>
            </w:r>
            <w:proofErr w:type="spellEnd"/>
            <w:r w:rsidRPr="00080BC7">
              <w:rPr>
                <w:sz w:val="16"/>
                <w:szCs w:val="16"/>
              </w:rPr>
              <w:t xml:space="preserve"> et al. [8]</w:t>
            </w:r>
          </w:p>
        </w:tc>
        <w:tc>
          <w:tcPr>
            <w:tcW w:w="671" w:type="dxa"/>
            <w:vAlign w:val="center"/>
          </w:tcPr>
          <w:p w14:paraId="55CB8E63" w14:textId="77777777" w:rsidR="00042B5E" w:rsidRPr="00080BC7" w:rsidRDefault="00042B5E" w:rsidP="00EC19F3">
            <w:pPr>
              <w:rPr>
                <w:sz w:val="16"/>
                <w:szCs w:val="16"/>
              </w:rPr>
            </w:pPr>
            <w:r w:rsidRPr="00080BC7">
              <w:rPr>
                <w:sz w:val="16"/>
                <w:szCs w:val="16"/>
              </w:rPr>
              <w:t>CT</w:t>
            </w:r>
          </w:p>
        </w:tc>
        <w:tc>
          <w:tcPr>
            <w:tcW w:w="1032" w:type="dxa"/>
            <w:vAlign w:val="center"/>
          </w:tcPr>
          <w:p w14:paraId="7D225430" w14:textId="77777777" w:rsidR="00042B5E" w:rsidRPr="00080BC7" w:rsidRDefault="00042B5E" w:rsidP="00EC19F3">
            <w:pPr>
              <w:rPr>
                <w:sz w:val="16"/>
                <w:szCs w:val="16"/>
              </w:rPr>
            </w:pPr>
            <w:r w:rsidRPr="00080BC7">
              <w:rPr>
                <w:sz w:val="16"/>
                <w:szCs w:val="16"/>
              </w:rPr>
              <w:t>Custom CT framework</w:t>
            </w:r>
          </w:p>
        </w:tc>
        <w:tc>
          <w:tcPr>
            <w:tcW w:w="1220" w:type="dxa"/>
            <w:vAlign w:val="center"/>
          </w:tcPr>
          <w:p w14:paraId="2904A8AE" w14:textId="77777777" w:rsidR="00042B5E" w:rsidRPr="00080BC7" w:rsidRDefault="00042B5E" w:rsidP="00EC19F3">
            <w:pPr>
              <w:rPr>
                <w:sz w:val="16"/>
                <w:szCs w:val="16"/>
              </w:rPr>
            </w:pPr>
            <w:r w:rsidRPr="00080BC7">
              <w:rPr>
                <w:sz w:val="16"/>
                <w:szCs w:val="16"/>
              </w:rPr>
              <w:t>Binary CT classification</w:t>
            </w:r>
          </w:p>
        </w:tc>
        <w:tc>
          <w:tcPr>
            <w:tcW w:w="677" w:type="dxa"/>
            <w:vAlign w:val="center"/>
          </w:tcPr>
          <w:p w14:paraId="32C7DCC6" w14:textId="77777777" w:rsidR="00042B5E" w:rsidRPr="00080BC7" w:rsidRDefault="00042B5E" w:rsidP="00EC19F3">
            <w:pPr>
              <w:rPr>
                <w:sz w:val="16"/>
                <w:szCs w:val="16"/>
              </w:rPr>
            </w:pPr>
            <w:r w:rsidRPr="00080BC7">
              <w:rPr>
                <w:sz w:val="16"/>
                <w:szCs w:val="16"/>
              </w:rPr>
              <w:t>89%</w:t>
            </w:r>
          </w:p>
        </w:tc>
        <w:tc>
          <w:tcPr>
            <w:tcW w:w="1080" w:type="dxa"/>
            <w:vAlign w:val="center"/>
          </w:tcPr>
          <w:p w14:paraId="386D6F4C" w14:textId="77777777" w:rsidR="00042B5E" w:rsidRPr="00080BC7" w:rsidRDefault="00042B5E" w:rsidP="00EC19F3">
            <w:pPr>
              <w:rPr>
                <w:sz w:val="16"/>
                <w:szCs w:val="16"/>
              </w:rPr>
            </w:pPr>
            <w:r w:rsidRPr="00080BC7">
              <w:rPr>
                <w:sz w:val="16"/>
                <w:szCs w:val="16"/>
              </w:rPr>
              <w:t>Binary classification and CT only</w:t>
            </w:r>
          </w:p>
        </w:tc>
      </w:tr>
      <w:tr w:rsidR="00042B5E" w14:paraId="6A917502" w14:textId="77777777" w:rsidTr="00EC19F3">
        <w:trPr>
          <w:trHeight w:val="21"/>
        </w:trPr>
        <w:tc>
          <w:tcPr>
            <w:tcW w:w="918" w:type="dxa"/>
            <w:vAlign w:val="center"/>
          </w:tcPr>
          <w:p w14:paraId="74A8AB28" w14:textId="77777777" w:rsidR="00042B5E" w:rsidRPr="00080BC7" w:rsidRDefault="00042B5E" w:rsidP="00EC19F3">
            <w:pPr>
              <w:rPr>
                <w:sz w:val="16"/>
                <w:szCs w:val="16"/>
              </w:rPr>
            </w:pPr>
            <w:proofErr w:type="spellStart"/>
            <w:r w:rsidRPr="00080BC7">
              <w:rPr>
                <w:sz w:val="16"/>
                <w:szCs w:val="16"/>
              </w:rPr>
              <w:t>Lamouadene</w:t>
            </w:r>
            <w:proofErr w:type="spellEnd"/>
            <w:r w:rsidRPr="00080BC7">
              <w:rPr>
                <w:sz w:val="16"/>
                <w:szCs w:val="16"/>
              </w:rPr>
              <w:t xml:space="preserve"> et al. [9]</w:t>
            </w:r>
          </w:p>
        </w:tc>
        <w:tc>
          <w:tcPr>
            <w:tcW w:w="671" w:type="dxa"/>
            <w:vAlign w:val="center"/>
          </w:tcPr>
          <w:p w14:paraId="05BB05C3" w14:textId="77777777" w:rsidR="00042B5E" w:rsidRPr="00080BC7" w:rsidRDefault="00042B5E" w:rsidP="00EC19F3">
            <w:pPr>
              <w:rPr>
                <w:sz w:val="16"/>
                <w:szCs w:val="16"/>
              </w:rPr>
            </w:pPr>
            <w:r w:rsidRPr="00080BC7">
              <w:rPr>
                <w:sz w:val="16"/>
                <w:szCs w:val="16"/>
              </w:rPr>
              <w:t>CXR</w:t>
            </w:r>
          </w:p>
        </w:tc>
        <w:tc>
          <w:tcPr>
            <w:tcW w:w="1032" w:type="dxa"/>
            <w:vAlign w:val="center"/>
          </w:tcPr>
          <w:p w14:paraId="72D8B06D" w14:textId="77777777" w:rsidR="00042B5E" w:rsidRPr="00080BC7" w:rsidRDefault="00042B5E" w:rsidP="00EC19F3">
            <w:pPr>
              <w:rPr>
                <w:sz w:val="16"/>
                <w:szCs w:val="16"/>
              </w:rPr>
            </w:pPr>
            <w:r w:rsidRPr="00080BC7">
              <w:rPr>
                <w:sz w:val="16"/>
                <w:szCs w:val="16"/>
              </w:rPr>
              <w:t>CNN, SVM, transfer learning</w:t>
            </w:r>
          </w:p>
        </w:tc>
        <w:tc>
          <w:tcPr>
            <w:tcW w:w="1220" w:type="dxa"/>
            <w:vAlign w:val="center"/>
          </w:tcPr>
          <w:p w14:paraId="7DF53457" w14:textId="77777777" w:rsidR="00042B5E" w:rsidRPr="00080BC7" w:rsidRDefault="00042B5E" w:rsidP="00EC19F3">
            <w:pPr>
              <w:rPr>
                <w:sz w:val="16"/>
                <w:szCs w:val="16"/>
              </w:rPr>
            </w:pPr>
            <w:r w:rsidRPr="00080BC7">
              <w:rPr>
                <w:sz w:val="16"/>
                <w:szCs w:val="16"/>
              </w:rPr>
              <w:t>COVID-19, lung opacity, viral pneumonia, normal</w:t>
            </w:r>
          </w:p>
        </w:tc>
        <w:tc>
          <w:tcPr>
            <w:tcW w:w="677" w:type="dxa"/>
            <w:vAlign w:val="center"/>
          </w:tcPr>
          <w:p w14:paraId="42E5D96D" w14:textId="77777777" w:rsidR="00042B5E" w:rsidRPr="00080BC7" w:rsidRDefault="00042B5E" w:rsidP="00EC19F3">
            <w:pPr>
              <w:rPr>
                <w:sz w:val="16"/>
                <w:szCs w:val="16"/>
              </w:rPr>
            </w:pPr>
            <w:r w:rsidRPr="00080BC7">
              <w:rPr>
                <w:sz w:val="16"/>
                <w:szCs w:val="16"/>
              </w:rPr>
              <w:t>up to 99.20%</w:t>
            </w:r>
          </w:p>
        </w:tc>
        <w:tc>
          <w:tcPr>
            <w:tcW w:w="1080" w:type="dxa"/>
            <w:vAlign w:val="center"/>
          </w:tcPr>
          <w:p w14:paraId="06D31320" w14:textId="77777777" w:rsidR="00042B5E" w:rsidRPr="00080BC7" w:rsidRDefault="00042B5E" w:rsidP="00EC19F3">
            <w:pPr>
              <w:rPr>
                <w:sz w:val="16"/>
                <w:szCs w:val="16"/>
              </w:rPr>
            </w:pPr>
            <w:r w:rsidRPr="00080BC7">
              <w:rPr>
                <w:sz w:val="16"/>
                <w:szCs w:val="16"/>
              </w:rPr>
              <w:t>CXR only; dataset diversity noted as limitation</w:t>
            </w:r>
          </w:p>
        </w:tc>
      </w:tr>
      <w:tr w:rsidR="00042B5E" w14:paraId="631BD304" w14:textId="77777777" w:rsidTr="00EC19F3">
        <w:trPr>
          <w:trHeight w:val="21"/>
        </w:trPr>
        <w:tc>
          <w:tcPr>
            <w:tcW w:w="918" w:type="dxa"/>
            <w:vAlign w:val="center"/>
          </w:tcPr>
          <w:p w14:paraId="6942CB61" w14:textId="77777777" w:rsidR="00042B5E" w:rsidRPr="00080BC7" w:rsidRDefault="00042B5E" w:rsidP="00EC19F3">
            <w:pPr>
              <w:rPr>
                <w:sz w:val="16"/>
                <w:szCs w:val="16"/>
              </w:rPr>
            </w:pPr>
            <w:r w:rsidRPr="00080BC7">
              <w:rPr>
                <w:sz w:val="16"/>
                <w:szCs w:val="16"/>
              </w:rPr>
              <w:t>Proposed paper</w:t>
            </w:r>
          </w:p>
        </w:tc>
        <w:tc>
          <w:tcPr>
            <w:tcW w:w="671" w:type="dxa"/>
            <w:vAlign w:val="center"/>
          </w:tcPr>
          <w:p w14:paraId="42813988" w14:textId="77777777" w:rsidR="00042B5E" w:rsidRPr="00080BC7" w:rsidRDefault="00042B5E" w:rsidP="00EC19F3">
            <w:pPr>
              <w:rPr>
                <w:sz w:val="16"/>
                <w:szCs w:val="16"/>
              </w:rPr>
            </w:pPr>
            <w:r w:rsidRPr="00080BC7">
              <w:rPr>
                <w:sz w:val="16"/>
                <w:szCs w:val="16"/>
              </w:rPr>
              <w:t>CXR + CT</w:t>
            </w:r>
          </w:p>
        </w:tc>
        <w:tc>
          <w:tcPr>
            <w:tcW w:w="1032" w:type="dxa"/>
            <w:vAlign w:val="center"/>
          </w:tcPr>
          <w:p w14:paraId="7288E275" w14:textId="77777777" w:rsidR="00042B5E" w:rsidRPr="00080BC7" w:rsidRDefault="00042B5E" w:rsidP="00EC19F3">
            <w:pPr>
              <w:rPr>
                <w:sz w:val="16"/>
                <w:szCs w:val="16"/>
              </w:rPr>
            </w:pPr>
            <w:r w:rsidRPr="00080BC7">
              <w:rPr>
                <w:sz w:val="16"/>
                <w:szCs w:val="16"/>
              </w:rPr>
              <w:t>12 modified transfer learning models + Grad-CAM</w:t>
            </w:r>
          </w:p>
        </w:tc>
        <w:tc>
          <w:tcPr>
            <w:tcW w:w="1220" w:type="dxa"/>
            <w:vAlign w:val="center"/>
          </w:tcPr>
          <w:p w14:paraId="08648A5C" w14:textId="77777777" w:rsidR="00042B5E" w:rsidRPr="00080BC7" w:rsidRDefault="00042B5E" w:rsidP="00EC19F3">
            <w:pPr>
              <w:rPr>
                <w:sz w:val="16"/>
                <w:szCs w:val="16"/>
              </w:rPr>
            </w:pPr>
            <w:r w:rsidRPr="00080BC7">
              <w:rPr>
                <w:sz w:val="16"/>
                <w:szCs w:val="16"/>
              </w:rPr>
              <w:t>Two balanced datasets, 18,000 images total</w:t>
            </w:r>
          </w:p>
        </w:tc>
        <w:tc>
          <w:tcPr>
            <w:tcW w:w="677" w:type="dxa"/>
            <w:vAlign w:val="center"/>
          </w:tcPr>
          <w:p w14:paraId="141C959C" w14:textId="77777777" w:rsidR="00042B5E" w:rsidRPr="00080BC7" w:rsidRDefault="00042B5E" w:rsidP="00EC19F3">
            <w:pPr>
              <w:rPr>
                <w:sz w:val="16"/>
                <w:szCs w:val="16"/>
              </w:rPr>
            </w:pPr>
            <w:r w:rsidRPr="00080BC7">
              <w:rPr>
                <w:sz w:val="16"/>
                <w:szCs w:val="16"/>
              </w:rPr>
              <w:t>98% CXR; 99% CT</w:t>
            </w:r>
          </w:p>
        </w:tc>
        <w:tc>
          <w:tcPr>
            <w:tcW w:w="1080" w:type="dxa"/>
            <w:vAlign w:val="center"/>
          </w:tcPr>
          <w:p w14:paraId="27A43F44" w14:textId="77777777" w:rsidR="00042B5E" w:rsidRPr="00080BC7" w:rsidRDefault="00042B5E" w:rsidP="00EC19F3">
            <w:pPr>
              <w:rPr>
                <w:sz w:val="16"/>
                <w:szCs w:val="16"/>
              </w:rPr>
            </w:pPr>
            <w:r w:rsidRPr="00080BC7">
              <w:rPr>
                <w:sz w:val="16"/>
                <w:szCs w:val="16"/>
              </w:rPr>
              <w:t>Needs external hospital validation</w:t>
            </w:r>
          </w:p>
        </w:tc>
      </w:tr>
    </w:tbl>
    <w:p w14:paraId="3D7B2CF3" w14:textId="77777777" w:rsidR="00042B5E" w:rsidRDefault="00042B5E" w:rsidP="00042B5E">
      <w:pPr>
        <w:spacing w:line="276" w:lineRule="auto"/>
      </w:pPr>
    </w:p>
    <w:p w14:paraId="397840B7" w14:textId="77777777" w:rsidR="00042B5E" w:rsidRDefault="00042B5E" w:rsidP="00042B5E">
      <w:pPr>
        <w:spacing w:before="160" w:after="80"/>
      </w:pPr>
      <w:r>
        <w:t>VIII. SCOPE AND LIMITATIONS</w:t>
      </w:r>
    </w:p>
    <w:p w14:paraId="55578F89" w14:textId="77777777" w:rsidR="00042B5E" w:rsidRDefault="00042B5E" w:rsidP="00042B5E">
      <w:pPr>
        <w:spacing w:after="60"/>
        <w:ind w:firstLine="259"/>
        <w:jc w:val="both"/>
      </w:pPr>
      <w:r>
        <w:t>The scope of this paper is limited to three-class image-level classification of COVID-19, pneumonia, and normal cases using CXR and CT images. The paper focuses on transfer learning using DenseNet-201, VGG-16, and Inception-v3, and uses Grad-CAM for visual interpretation and severity-related assessment.</w:t>
      </w:r>
    </w:p>
    <w:p w14:paraId="1B2A598E" w14:textId="77777777" w:rsidR="00042B5E" w:rsidRDefault="00042B5E" w:rsidP="00042B5E">
      <w:pPr>
        <w:spacing w:after="60"/>
        <w:ind w:firstLine="259"/>
        <w:jc w:val="both"/>
      </w:pPr>
      <w:r>
        <w:t>The main limitation is that the datasets were compiled from public sources rather than collected prospectively from a single hospital. Although both datasets are balanced, variations in imaging protocols, patient populations, image quality, and acquisition devices may affect generalization. Another limitation is that Grad-CAM provides visual evidence of disease-related activation, but it does not provide clinically validated severity grades such as mild, moderate, and severe unless expert severity annotations are added. Finally, the evaluation is image-level rather than patient-level, so external clinical validation is required before real deployment.</w:t>
      </w:r>
    </w:p>
    <w:p w14:paraId="42BA6DCF" w14:textId="77777777" w:rsidR="00042B5E" w:rsidRDefault="00042B5E" w:rsidP="00042B5E">
      <w:pPr>
        <w:spacing w:before="160" w:after="80"/>
      </w:pPr>
      <w:r>
        <w:t>IX. CONCLUSION AND FUTURE WORK</w:t>
      </w:r>
    </w:p>
    <w:p w14:paraId="05137425" w14:textId="77777777" w:rsidR="00042B5E" w:rsidRDefault="00042B5E" w:rsidP="00042B5E">
      <w:pPr>
        <w:spacing w:after="60"/>
        <w:ind w:firstLine="259"/>
        <w:jc w:val="both"/>
      </w:pPr>
      <w:r>
        <w:t>This paper presented a comparative transfer learning framework for automatic COVID-19 detection and Grad-CAM-based severity assessment using CXR and CT images. Three pre-trained convolutional architectures—DenseNet-201, VGG-16, and Inception-v3—were modified and evaluated using two training strategies: frozen feature extraction and full fine-tuning. In total, twelve transfer learning models were investigated across two balanced datasets.</w:t>
      </w:r>
    </w:p>
    <w:p w14:paraId="565B7007" w14:textId="77777777" w:rsidR="00042B5E" w:rsidRDefault="00042B5E" w:rsidP="00042B5E">
      <w:pPr>
        <w:spacing w:after="60"/>
        <w:ind w:firstLine="259"/>
        <w:jc w:val="both"/>
      </w:pPr>
      <w:r>
        <w:lastRenderedPageBreak/>
        <w:t>The results show that full fine-tuning generally outperformed frozen-feature training. For CXR images, EM-DenseNet-201 achieved the strongest overall performance, while for CT images, the fully fine-tuned models achieved approximately 99% test accuracy. The findings also show that pneumonia remains the most challenging class because of visual overlap with COVID-19. Grad-CAM improved model interpretability by highlighting lung regions associated with disease patterns and supporting visual severity assessment.</w:t>
      </w:r>
    </w:p>
    <w:p w14:paraId="0CE5AC6A" w14:textId="77777777" w:rsidR="00042B5E" w:rsidRDefault="00042B5E" w:rsidP="00042B5E">
      <w:pPr>
        <w:spacing w:after="60"/>
        <w:ind w:firstLine="259"/>
        <w:jc w:val="both"/>
      </w:pPr>
      <w:r>
        <w:t>Future work should validate the proposed models on external hospital datasets, perform patient-level evaluation, and include radiologist-reviewed severity labels. Future studies may also integrate lung segmentation before classification, compare ensemble strategies, and develop a clinically validated severity grading system based on expert annotations and Grad-CAM localization.</w:t>
      </w:r>
    </w:p>
    <w:p w14:paraId="62141940" w14:textId="77777777" w:rsidR="00042B5E" w:rsidRPr="00080BC7" w:rsidRDefault="00042B5E" w:rsidP="00042B5E">
      <w:pPr>
        <w:spacing w:before="160" w:after="80"/>
        <w:rPr>
          <w:b/>
          <w:bCs/>
          <w:sz w:val="16"/>
        </w:rPr>
      </w:pPr>
      <w:r w:rsidRPr="00080BC7">
        <w:rPr>
          <w:b/>
          <w:bCs/>
        </w:rPr>
        <w:t>REFERENCES</w:t>
      </w:r>
    </w:p>
    <w:p w14:paraId="381995AD"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Ai, T., Yang, Z., Hou, H., Zhan, C., Chen, C., </w:t>
      </w:r>
      <w:proofErr w:type="spellStart"/>
      <w:r w:rsidRPr="00080BC7">
        <w:rPr>
          <w:sz w:val="18"/>
          <w:szCs w:val="18"/>
        </w:rPr>
        <w:t>Lv</w:t>
      </w:r>
      <w:proofErr w:type="spellEnd"/>
      <w:r w:rsidRPr="00080BC7">
        <w:rPr>
          <w:sz w:val="18"/>
          <w:szCs w:val="18"/>
        </w:rPr>
        <w:t>, W., Tao, Q., Sun, Z., &amp; Xia, L. (2020). Correlation of chest CT and RT-PCR testing for coronavirus disease 2019 in China: A report of 1014 cases. Radiology, 296(2), E32–E40.</w:t>
      </w:r>
    </w:p>
    <w:p w14:paraId="488FD721"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Ben </w:t>
      </w:r>
      <w:proofErr w:type="spellStart"/>
      <w:r w:rsidRPr="00080BC7">
        <w:rPr>
          <w:sz w:val="18"/>
          <w:szCs w:val="18"/>
        </w:rPr>
        <w:t>shatwan</w:t>
      </w:r>
      <w:proofErr w:type="spellEnd"/>
      <w:r w:rsidRPr="00080BC7">
        <w:rPr>
          <w:sz w:val="18"/>
          <w:szCs w:val="18"/>
        </w:rPr>
        <w:t>, A. (2023). Using deep learning approaches for the automatic detection of COVID-19 and assessing disease severity through chest CXR and CT scan image processing. In 2023 IEEE 3rd International Maghreb Meeting of the Conference on Sciences and Techniques of Automatic Control and Computer Engineering (MI-STA) (pp. 235–241). IEEE.</w:t>
      </w:r>
    </w:p>
    <w:p w14:paraId="513CD931" w14:textId="77777777" w:rsidR="00042B5E" w:rsidRPr="00080BC7" w:rsidRDefault="00042B5E" w:rsidP="00042B5E">
      <w:pPr>
        <w:spacing w:after="40" w:line="276" w:lineRule="auto"/>
        <w:ind w:left="259" w:hanging="259"/>
        <w:jc w:val="both"/>
        <w:rPr>
          <w:sz w:val="18"/>
          <w:szCs w:val="18"/>
        </w:rPr>
      </w:pPr>
      <w:r w:rsidRPr="00080BC7">
        <w:rPr>
          <w:sz w:val="18"/>
          <w:szCs w:val="18"/>
        </w:rPr>
        <w:t>Bernheim, A., Mei, X., Huang, M., Yang, Y., Fayad, Z. A., Zhang, N., Diao, K., Lin, B., Zhu, X., Li, K., Li, S., Shan, H., Jacobi, A., &amp; Chung, M. (2020). Chest CT findings in coronavirus disease-19: Relationship to duration of infection. Radiology, 295(3), 685–691.</w:t>
      </w:r>
    </w:p>
    <w:p w14:paraId="2664FC3A" w14:textId="77777777" w:rsidR="00042B5E" w:rsidRPr="00080BC7" w:rsidRDefault="00042B5E" w:rsidP="00042B5E">
      <w:pPr>
        <w:spacing w:after="40" w:line="276" w:lineRule="auto"/>
        <w:ind w:left="259" w:hanging="259"/>
        <w:jc w:val="both"/>
        <w:rPr>
          <w:sz w:val="18"/>
          <w:szCs w:val="18"/>
        </w:rPr>
      </w:pPr>
      <w:r w:rsidRPr="00080BC7">
        <w:rPr>
          <w:sz w:val="18"/>
          <w:szCs w:val="18"/>
        </w:rPr>
        <w:t>Clark, K., Vendt, B., Smith, K., Freymann, J., Kirby, J., Koppel, P., Moore, S., Phillips, S., Maffitt, D., Pringle, M., Tarbox, L., &amp; Prior, F. (2013). The Cancer Imaging Archive: Maintaining and operating a public information repository. Journal of Digital Imaging, 26, 1045–1057.</w:t>
      </w:r>
    </w:p>
    <w:p w14:paraId="0B2D053B" w14:textId="77777777" w:rsidR="00042B5E" w:rsidRPr="00080BC7" w:rsidRDefault="00042B5E" w:rsidP="00042B5E">
      <w:pPr>
        <w:spacing w:after="40" w:line="276" w:lineRule="auto"/>
        <w:ind w:left="259" w:hanging="259"/>
        <w:jc w:val="both"/>
        <w:rPr>
          <w:sz w:val="18"/>
          <w:szCs w:val="18"/>
        </w:rPr>
      </w:pPr>
      <w:r w:rsidRPr="00080BC7">
        <w:rPr>
          <w:sz w:val="18"/>
          <w:szCs w:val="18"/>
        </w:rPr>
        <w:t>El Houby, E. M. F. (2024). COVID-19 detection from chest X-ray images using transfer learning. Scientific Reports, 14, 11639.</w:t>
      </w:r>
    </w:p>
    <w:p w14:paraId="592E58D6" w14:textId="77777777" w:rsidR="00042B5E" w:rsidRPr="00080BC7" w:rsidRDefault="00042B5E" w:rsidP="00042B5E">
      <w:pPr>
        <w:spacing w:after="40" w:line="276" w:lineRule="auto"/>
        <w:ind w:left="259" w:hanging="259"/>
        <w:jc w:val="both"/>
        <w:rPr>
          <w:sz w:val="18"/>
          <w:szCs w:val="18"/>
        </w:rPr>
      </w:pPr>
      <w:r w:rsidRPr="00080BC7">
        <w:rPr>
          <w:sz w:val="18"/>
          <w:szCs w:val="18"/>
        </w:rPr>
        <w:t>Fang, Y., Zhang, H., Xie, J., Lin, M., Ying, L., Pang, P., &amp; Ji, W. (2020). Sensitivity of chest CT for COVID-19: Comparison to RT-PCR. Radiology, 296(2), E115–E117.</w:t>
      </w:r>
    </w:p>
    <w:p w14:paraId="6212F09E" w14:textId="77777777" w:rsidR="00042B5E" w:rsidRPr="00080BC7" w:rsidRDefault="00042B5E" w:rsidP="00042B5E">
      <w:pPr>
        <w:spacing w:after="40" w:line="276" w:lineRule="auto"/>
        <w:ind w:left="259" w:hanging="259"/>
        <w:jc w:val="both"/>
        <w:rPr>
          <w:sz w:val="18"/>
          <w:szCs w:val="18"/>
        </w:rPr>
      </w:pPr>
      <w:r w:rsidRPr="00080BC7">
        <w:rPr>
          <w:sz w:val="18"/>
          <w:szCs w:val="18"/>
        </w:rPr>
        <w:t>Garcia, A., et al. (2024). A literature review on the relative diagnostic accuracy of chest CT scans versus RT-PCR testing for COVID-19 diagnosis. Tomography, 10(6).</w:t>
      </w:r>
    </w:p>
    <w:p w14:paraId="0BA5C64D" w14:textId="77777777" w:rsidR="00042B5E" w:rsidRPr="00080BC7" w:rsidRDefault="00042B5E" w:rsidP="00042B5E">
      <w:pPr>
        <w:spacing w:after="40" w:line="276" w:lineRule="auto"/>
        <w:ind w:left="259" w:hanging="259"/>
        <w:jc w:val="both"/>
        <w:rPr>
          <w:sz w:val="18"/>
          <w:szCs w:val="18"/>
        </w:rPr>
      </w:pPr>
      <w:r w:rsidRPr="00080BC7">
        <w:rPr>
          <w:sz w:val="18"/>
          <w:szCs w:val="18"/>
        </w:rPr>
        <w:t>Huang, G., Liu, Z., Van Der Maaten, L., &amp; Weinberger, K. Q. (2017). Densely connected convolutional networks. In Proceedings of the IEEE Conference on Computer Vision and Pattern Recognition (pp. 4700–4708).</w:t>
      </w:r>
    </w:p>
    <w:p w14:paraId="71B536D6"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Irvin, J., </w:t>
      </w:r>
      <w:proofErr w:type="spellStart"/>
      <w:r w:rsidRPr="00080BC7">
        <w:rPr>
          <w:sz w:val="18"/>
          <w:szCs w:val="18"/>
        </w:rPr>
        <w:t>Rajpurkar</w:t>
      </w:r>
      <w:proofErr w:type="spellEnd"/>
      <w:r w:rsidRPr="00080BC7">
        <w:rPr>
          <w:sz w:val="18"/>
          <w:szCs w:val="18"/>
        </w:rPr>
        <w:t xml:space="preserve">, P., Ko, M., Yu, Y., Ciurea-Ilcus, S., Chute, C., Marklund, H., </w:t>
      </w:r>
      <w:proofErr w:type="spellStart"/>
      <w:r w:rsidRPr="00080BC7">
        <w:rPr>
          <w:sz w:val="18"/>
          <w:szCs w:val="18"/>
        </w:rPr>
        <w:t>Haghgoo</w:t>
      </w:r>
      <w:proofErr w:type="spellEnd"/>
      <w:r w:rsidRPr="00080BC7">
        <w:rPr>
          <w:sz w:val="18"/>
          <w:szCs w:val="18"/>
        </w:rPr>
        <w:t xml:space="preserve">, B., Ball, R., </w:t>
      </w:r>
      <w:proofErr w:type="spellStart"/>
      <w:r w:rsidRPr="00080BC7">
        <w:rPr>
          <w:sz w:val="18"/>
          <w:szCs w:val="18"/>
        </w:rPr>
        <w:t>Shpanskaya</w:t>
      </w:r>
      <w:proofErr w:type="spellEnd"/>
      <w:r w:rsidRPr="00080BC7">
        <w:rPr>
          <w:sz w:val="18"/>
          <w:szCs w:val="18"/>
        </w:rPr>
        <w:t xml:space="preserve">, K., Seekins, J., </w:t>
      </w:r>
      <w:proofErr w:type="spellStart"/>
      <w:r w:rsidRPr="00080BC7">
        <w:rPr>
          <w:sz w:val="18"/>
          <w:szCs w:val="18"/>
        </w:rPr>
        <w:t>Mong</w:t>
      </w:r>
      <w:proofErr w:type="spellEnd"/>
      <w:r w:rsidRPr="00080BC7">
        <w:rPr>
          <w:sz w:val="18"/>
          <w:szCs w:val="18"/>
        </w:rPr>
        <w:t xml:space="preserve">, D. A., Halabi, S. S., Sandberg, J. K., Jones, R., Larson, D. B., Langlotz, C. P., Patel, B. N., Lungren, M. P., &amp; Ng, A. Y. (2019). </w:t>
      </w:r>
      <w:proofErr w:type="spellStart"/>
      <w:r w:rsidRPr="00080BC7">
        <w:rPr>
          <w:sz w:val="18"/>
          <w:szCs w:val="18"/>
        </w:rPr>
        <w:t>CheXpert</w:t>
      </w:r>
      <w:proofErr w:type="spellEnd"/>
      <w:r w:rsidRPr="00080BC7">
        <w:rPr>
          <w:sz w:val="18"/>
          <w:szCs w:val="18"/>
        </w:rPr>
        <w:t>: A large chest radiograph dataset with uncertainty labels and expert comparison. Proceedings of the AAAI Conference on Artificial Intelligence, 33(1), 590–597.</w:t>
      </w:r>
    </w:p>
    <w:p w14:paraId="500598CA"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Jaiswal, A., </w:t>
      </w:r>
      <w:proofErr w:type="spellStart"/>
      <w:r w:rsidRPr="00080BC7">
        <w:rPr>
          <w:sz w:val="18"/>
          <w:szCs w:val="18"/>
        </w:rPr>
        <w:t>Gianchandani</w:t>
      </w:r>
      <w:proofErr w:type="spellEnd"/>
      <w:r w:rsidRPr="00080BC7">
        <w:rPr>
          <w:sz w:val="18"/>
          <w:szCs w:val="18"/>
        </w:rPr>
        <w:t>, N., Singh, D., Kumar, V., &amp; Kaur, M. (2020). Classification of the COVID-19 infected patients using DenseNet201 based deep transfer learning. Journal of Biomolecular Structure and Dynamics.</w:t>
      </w:r>
    </w:p>
    <w:p w14:paraId="01C370B4" w14:textId="77777777" w:rsidR="00042B5E" w:rsidRPr="00080BC7" w:rsidRDefault="00042B5E" w:rsidP="00042B5E">
      <w:pPr>
        <w:spacing w:after="40" w:line="276" w:lineRule="auto"/>
        <w:ind w:left="259" w:hanging="259"/>
        <w:jc w:val="both"/>
        <w:rPr>
          <w:sz w:val="18"/>
          <w:szCs w:val="18"/>
        </w:rPr>
      </w:pPr>
      <w:proofErr w:type="spellStart"/>
      <w:r w:rsidRPr="00080BC7">
        <w:rPr>
          <w:sz w:val="18"/>
          <w:szCs w:val="18"/>
        </w:rPr>
        <w:t>Kassani</w:t>
      </w:r>
      <w:proofErr w:type="spellEnd"/>
      <w:r w:rsidRPr="00080BC7">
        <w:rPr>
          <w:sz w:val="18"/>
          <w:szCs w:val="18"/>
        </w:rPr>
        <w:t xml:space="preserve">, S. H., </w:t>
      </w:r>
      <w:proofErr w:type="spellStart"/>
      <w:r w:rsidRPr="00080BC7">
        <w:rPr>
          <w:sz w:val="18"/>
          <w:szCs w:val="18"/>
        </w:rPr>
        <w:t>Kassani</w:t>
      </w:r>
      <w:proofErr w:type="spellEnd"/>
      <w:r w:rsidRPr="00080BC7">
        <w:rPr>
          <w:sz w:val="18"/>
          <w:szCs w:val="18"/>
        </w:rPr>
        <w:t>, P. H., Wesolowski, M. J., Schneider, K. A., &amp; Deters, R. (2021). Automatic detection of coronavirus disease (COVID-19) in X-ray and CT images: A machine learning-based approach. Biocybernetics and Biomedical Engineering, 41(3), 867–879.</w:t>
      </w:r>
    </w:p>
    <w:p w14:paraId="41C74B69" w14:textId="77777777" w:rsidR="00042B5E" w:rsidRPr="00080BC7" w:rsidRDefault="00042B5E" w:rsidP="00042B5E">
      <w:pPr>
        <w:spacing w:after="40" w:line="276" w:lineRule="auto"/>
        <w:ind w:left="259" w:hanging="259"/>
        <w:jc w:val="both"/>
        <w:rPr>
          <w:sz w:val="18"/>
          <w:szCs w:val="18"/>
        </w:rPr>
      </w:pPr>
      <w:proofErr w:type="spellStart"/>
      <w:r w:rsidRPr="00080BC7">
        <w:rPr>
          <w:sz w:val="18"/>
          <w:szCs w:val="18"/>
        </w:rPr>
        <w:t>Kermany</w:t>
      </w:r>
      <w:proofErr w:type="spellEnd"/>
      <w:r w:rsidRPr="00080BC7">
        <w:rPr>
          <w:sz w:val="18"/>
          <w:szCs w:val="18"/>
        </w:rPr>
        <w:t xml:space="preserve">, D. S., Goldbaum, M., Cai, W., Valentim, C. C. S., Liang, H., Baxter, S. L., McKeown, A., Yang, G., Wu, X., Yan, F., Dong, J., </w:t>
      </w:r>
      <w:proofErr w:type="spellStart"/>
      <w:r w:rsidRPr="00080BC7">
        <w:rPr>
          <w:sz w:val="18"/>
          <w:szCs w:val="18"/>
        </w:rPr>
        <w:t>Prasadha</w:t>
      </w:r>
      <w:proofErr w:type="spellEnd"/>
      <w:r w:rsidRPr="00080BC7">
        <w:rPr>
          <w:sz w:val="18"/>
          <w:szCs w:val="18"/>
        </w:rPr>
        <w:t xml:space="preserve">, M. K., Pei, J., Ting, M. Y. L., Zhu, J., Li, C., Hewett, S., Dong, J., </w:t>
      </w:r>
      <w:proofErr w:type="spellStart"/>
      <w:r w:rsidRPr="00080BC7">
        <w:rPr>
          <w:sz w:val="18"/>
          <w:szCs w:val="18"/>
        </w:rPr>
        <w:t>Ziyar</w:t>
      </w:r>
      <w:proofErr w:type="spellEnd"/>
      <w:r w:rsidRPr="00080BC7">
        <w:rPr>
          <w:sz w:val="18"/>
          <w:szCs w:val="18"/>
        </w:rPr>
        <w:t>, I., ... Zhang, K. (2018). Identifying medical diagnoses and treatable diseases by image-based deep learning. Cell, 172(5), 1122–1131.</w:t>
      </w:r>
    </w:p>
    <w:p w14:paraId="15A4C075" w14:textId="77777777" w:rsidR="00042B5E" w:rsidRPr="00080BC7" w:rsidRDefault="00042B5E" w:rsidP="00042B5E">
      <w:pPr>
        <w:spacing w:after="40" w:line="276" w:lineRule="auto"/>
        <w:ind w:left="259" w:hanging="259"/>
        <w:jc w:val="both"/>
        <w:rPr>
          <w:sz w:val="18"/>
          <w:szCs w:val="18"/>
        </w:rPr>
      </w:pPr>
      <w:r w:rsidRPr="00080BC7">
        <w:rPr>
          <w:sz w:val="18"/>
          <w:szCs w:val="18"/>
        </w:rPr>
        <w:t>Ko, H., Chung, H., Kang, W. S., Kim, K. W., Shin, Y., Kang, S. J., Lee, J. H., Kim, Y. J., Kim, N. Y., Jung, H., &amp; Lee, J. (2021). COVID-19 pneumonia diagnosis using a simple 2D deep learning framework with a single chest CT image. Journal of Medical Internet Research, 22(6), e19569.</w:t>
      </w:r>
    </w:p>
    <w:p w14:paraId="6C7813A8" w14:textId="77777777" w:rsidR="00042B5E" w:rsidRPr="00080BC7" w:rsidRDefault="00042B5E" w:rsidP="00042B5E">
      <w:pPr>
        <w:spacing w:after="40" w:line="276" w:lineRule="auto"/>
        <w:ind w:left="259" w:hanging="259"/>
        <w:jc w:val="both"/>
        <w:rPr>
          <w:sz w:val="18"/>
          <w:szCs w:val="18"/>
        </w:rPr>
      </w:pPr>
      <w:proofErr w:type="spellStart"/>
      <w:r w:rsidRPr="00080BC7">
        <w:rPr>
          <w:sz w:val="18"/>
          <w:szCs w:val="18"/>
        </w:rPr>
        <w:t>Kordnoori</w:t>
      </w:r>
      <w:proofErr w:type="spellEnd"/>
      <w:r w:rsidRPr="00080BC7">
        <w:rPr>
          <w:sz w:val="18"/>
          <w:szCs w:val="18"/>
        </w:rPr>
        <w:t xml:space="preserve">, S., Sabeti, M., Mostafaei, H., &amp; </w:t>
      </w:r>
      <w:proofErr w:type="spellStart"/>
      <w:r w:rsidRPr="00080BC7">
        <w:rPr>
          <w:sz w:val="18"/>
          <w:szCs w:val="18"/>
        </w:rPr>
        <w:t>Banihashemi</w:t>
      </w:r>
      <w:proofErr w:type="spellEnd"/>
      <w:r w:rsidRPr="00080BC7">
        <w:rPr>
          <w:sz w:val="18"/>
          <w:szCs w:val="18"/>
        </w:rPr>
        <w:t>, S. S. A. (2025). A deep learning framework for accurate COVID-19 classification in CT-scan images. Machine Learning with Applications, 19, 100628.</w:t>
      </w:r>
    </w:p>
    <w:p w14:paraId="5596F4FD" w14:textId="77777777" w:rsidR="00042B5E" w:rsidRPr="00080BC7" w:rsidRDefault="00042B5E" w:rsidP="00042B5E">
      <w:pPr>
        <w:spacing w:after="40" w:line="276" w:lineRule="auto"/>
        <w:ind w:left="259" w:hanging="259"/>
        <w:jc w:val="both"/>
        <w:rPr>
          <w:sz w:val="18"/>
          <w:szCs w:val="18"/>
        </w:rPr>
      </w:pPr>
      <w:proofErr w:type="spellStart"/>
      <w:r w:rsidRPr="00080BC7">
        <w:rPr>
          <w:sz w:val="18"/>
          <w:szCs w:val="18"/>
        </w:rPr>
        <w:t>Lamouadene</w:t>
      </w:r>
      <w:proofErr w:type="spellEnd"/>
      <w:r w:rsidRPr="00080BC7">
        <w:rPr>
          <w:sz w:val="18"/>
          <w:szCs w:val="18"/>
        </w:rPr>
        <w:t xml:space="preserve">, H., El </w:t>
      </w:r>
      <w:proofErr w:type="spellStart"/>
      <w:r w:rsidRPr="00080BC7">
        <w:rPr>
          <w:sz w:val="18"/>
          <w:szCs w:val="18"/>
        </w:rPr>
        <w:t>Kassaoui</w:t>
      </w:r>
      <w:proofErr w:type="spellEnd"/>
      <w:r w:rsidRPr="00080BC7">
        <w:rPr>
          <w:sz w:val="18"/>
          <w:szCs w:val="18"/>
        </w:rPr>
        <w:t xml:space="preserve">, M., El </w:t>
      </w:r>
      <w:proofErr w:type="spellStart"/>
      <w:r w:rsidRPr="00080BC7">
        <w:rPr>
          <w:sz w:val="18"/>
          <w:szCs w:val="18"/>
        </w:rPr>
        <w:t>Yadari</w:t>
      </w:r>
      <w:proofErr w:type="spellEnd"/>
      <w:r w:rsidRPr="00080BC7">
        <w:rPr>
          <w:sz w:val="18"/>
          <w:szCs w:val="18"/>
        </w:rPr>
        <w:t xml:space="preserve">, M., El Kenz, A., </w:t>
      </w:r>
      <w:proofErr w:type="spellStart"/>
      <w:r w:rsidRPr="00080BC7">
        <w:rPr>
          <w:sz w:val="18"/>
          <w:szCs w:val="18"/>
        </w:rPr>
        <w:t>Benyoussef</w:t>
      </w:r>
      <w:proofErr w:type="spellEnd"/>
      <w:r w:rsidRPr="00080BC7">
        <w:rPr>
          <w:sz w:val="18"/>
          <w:szCs w:val="18"/>
        </w:rPr>
        <w:t xml:space="preserve">, A., El </w:t>
      </w:r>
      <w:proofErr w:type="spellStart"/>
      <w:r w:rsidRPr="00080BC7">
        <w:rPr>
          <w:sz w:val="18"/>
          <w:szCs w:val="18"/>
        </w:rPr>
        <w:t>Moutaouakil</w:t>
      </w:r>
      <w:proofErr w:type="spellEnd"/>
      <w:r w:rsidRPr="00080BC7">
        <w:rPr>
          <w:sz w:val="18"/>
          <w:szCs w:val="18"/>
        </w:rPr>
        <w:t xml:space="preserve">, A., &amp; </w:t>
      </w:r>
      <w:proofErr w:type="spellStart"/>
      <w:r w:rsidRPr="00080BC7">
        <w:rPr>
          <w:sz w:val="18"/>
          <w:szCs w:val="18"/>
        </w:rPr>
        <w:t>Mounkachi</w:t>
      </w:r>
      <w:proofErr w:type="spellEnd"/>
      <w:r w:rsidRPr="00080BC7">
        <w:rPr>
          <w:sz w:val="18"/>
          <w:szCs w:val="18"/>
        </w:rPr>
        <w:t>, O. (2025). Detection of COVID-19, lung opacity, and viral pneumonia via X-ray using machine learning and deep learning. Computers in Biology and Medicine, 190, 110131.</w:t>
      </w:r>
    </w:p>
    <w:p w14:paraId="1B41698D" w14:textId="77777777" w:rsidR="00042B5E" w:rsidRPr="00080BC7" w:rsidRDefault="00042B5E" w:rsidP="00042B5E">
      <w:pPr>
        <w:spacing w:after="40" w:line="276" w:lineRule="auto"/>
        <w:ind w:left="259" w:hanging="259"/>
        <w:jc w:val="both"/>
        <w:rPr>
          <w:sz w:val="18"/>
          <w:szCs w:val="18"/>
        </w:rPr>
      </w:pPr>
      <w:r w:rsidRPr="00080BC7">
        <w:rPr>
          <w:sz w:val="18"/>
          <w:szCs w:val="18"/>
        </w:rPr>
        <w:lastRenderedPageBreak/>
        <w:t xml:space="preserve">Morozov, S. P., Andreychenko, A. E., Pavlov, N. A., </w:t>
      </w:r>
      <w:proofErr w:type="spellStart"/>
      <w:r w:rsidRPr="00080BC7">
        <w:rPr>
          <w:sz w:val="18"/>
          <w:szCs w:val="18"/>
        </w:rPr>
        <w:t>Vladzymyrskyy</w:t>
      </w:r>
      <w:proofErr w:type="spellEnd"/>
      <w:r w:rsidRPr="00080BC7">
        <w:rPr>
          <w:sz w:val="18"/>
          <w:szCs w:val="18"/>
        </w:rPr>
        <w:t xml:space="preserve">, A. V., Ledikhova, N. V., Gombolevskiy, V. A., Blokhin, I. A., </w:t>
      </w:r>
      <w:proofErr w:type="spellStart"/>
      <w:r w:rsidRPr="00080BC7">
        <w:rPr>
          <w:sz w:val="18"/>
          <w:szCs w:val="18"/>
        </w:rPr>
        <w:t>Gelezhe</w:t>
      </w:r>
      <w:proofErr w:type="spellEnd"/>
      <w:r w:rsidRPr="00080BC7">
        <w:rPr>
          <w:sz w:val="18"/>
          <w:szCs w:val="18"/>
        </w:rPr>
        <w:t xml:space="preserve">, P. B., Gonchar, A. V., &amp; </w:t>
      </w:r>
      <w:proofErr w:type="spellStart"/>
      <w:r w:rsidRPr="00080BC7">
        <w:rPr>
          <w:sz w:val="18"/>
          <w:szCs w:val="18"/>
        </w:rPr>
        <w:t>Chernina</w:t>
      </w:r>
      <w:proofErr w:type="spellEnd"/>
      <w:r w:rsidRPr="00080BC7">
        <w:rPr>
          <w:sz w:val="18"/>
          <w:szCs w:val="18"/>
        </w:rPr>
        <w:t xml:space="preserve">, V. Y. (2020). </w:t>
      </w:r>
      <w:proofErr w:type="spellStart"/>
      <w:r w:rsidRPr="00080BC7">
        <w:rPr>
          <w:sz w:val="18"/>
          <w:szCs w:val="18"/>
        </w:rPr>
        <w:t>MosMedData</w:t>
      </w:r>
      <w:proofErr w:type="spellEnd"/>
      <w:r w:rsidRPr="00080BC7">
        <w:rPr>
          <w:sz w:val="18"/>
          <w:szCs w:val="18"/>
        </w:rPr>
        <w:t xml:space="preserve">: Chest CT scans with COVID-19 related findings dataset. </w:t>
      </w:r>
      <w:proofErr w:type="spellStart"/>
      <w:r w:rsidRPr="00080BC7">
        <w:rPr>
          <w:sz w:val="18"/>
          <w:szCs w:val="18"/>
        </w:rPr>
        <w:t>arXiv</w:t>
      </w:r>
      <w:proofErr w:type="spellEnd"/>
      <w:r w:rsidRPr="00080BC7">
        <w:rPr>
          <w:sz w:val="18"/>
          <w:szCs w:val="18"/>
        </w:rPr>
        <w:t xml:space="preserve"> preprint arXiv:2005.06465.</w:t>
      </w:r>
    </w:p>
    <w:p w14:paraId="377AFF52"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Ozturk, T., </w:t>
      </w:r>
      <w:proofErr w:type="spellStart"/>
      <w:r w:rsidRPr="00080BC7">
        <w:rPr>
          <w:sz w:val="18"/>
          <w:szCs w:val="18"/>
        </w:rPr>
        <w:t>Talo</w:t>
      </w:r>
      <w:proofErr w:type="spellEnd"/>
      <w:r w:rsidRPr="00080BC7">
        <w:rPr>
          <w:sz w:val="18"/>
          <w:szCs w:val="18"/>
        </w:rPr>
        <w:t xml:space="preserve">, M., Yildirim, E. A., </w:t>
      </w:r>
      <w:proofErr w:type="spellStart"/>
      <w:r w:rsidRPr="00080BC7">
        <w:rPr>
          <w:sz w:val="18"/>
          <w:szCs w:val="18"/>
        </w:rPr>
        <w:t>Baloglu</w:t>
      </w:r>
      <w:proofErr w:type="spellEnd"/>
      <w:r w:rsidRPr="00080BC7">
        <w:rPr>
          <w:sz w:val="18"/>
          <w:szCs w:val="18"/>
        </w:rPr>
        <w:t>, U. B., Yildirim, O., &amp; Acharya, U. R. (2020). Automated detection of COVID-19 cases using deep neural networks with X-ray images. Computers in Biology and Medicine, 121, 103792.</w:t>
      </w:r>
    </w:p>
    <w:p w14:paraId="04A1B001" w14:textId="77777777" w:rsidR="00042B5E" w:rsidRPr="00080BC7" w:rsidRDefault="00042B5E" w:rsidP="00042B5E">
      <w:pPr>
        <w:spacing w:after="40" w:line="276" w:lineRule="auto"/>
        <w:ind w:left="259" w:hanging="259"/>
        <w:jc w:val="both"/>
        <w:rPr>
          <w:sz w:val="18"/>
          <w:szCs w:val="18"/>
        </w:rPr>
      </w:pPr>
      <w:r w:rsidRPr="00080BC7">
        <w:rPr>
          <w:sz w:val="18"/>
          <w:szCs w:val="18"/>
        </w:rPr>
        <w:t>Pan, S. J., &amp; Yang, Q. (2010). A survey on transfer learning. IEEE Transactions on Knowledge and Data Engineering, 22(10), 1345–1359.</w:t>
      </w:r>
    </w:p>
    <w:p w14:paraId="49E9C737" w14:textId="77777777" w:rsidR="00042B5E" w:rsidRPr="00080BC7" w:rsidRDefault="00042B5E" w:rsidP="00042B5E">
      <w:pPr>
        <w:spacing w:after="40" w:line="276" w:lineRule="auto"/>
        <w:ind w:left="259" w:hanging="259"/>
        <w:jc w:val="both"/>
        <w:rPr>
          <w:sz w:val="18"/>
          <w:szCs w:val="18"/>
        </w:rPr>
      </w:pPr>
      <w:r w:rsidRPr="00080BC7">
        <w:rPr>
          <w:sz w:val="18"/>
          <w:szCs w:val="18"/>
        </w:rPr>
        <w:t>Selvaraju, R. R., Cogswell, M., Das, A., Vedantam, R., Parikh, D., &amp; Batra, D. (2017). Grad-CAM: Visual explanations from deep networks via gradient-based localization. In Proceedings of the IEEE International Conference on Computer Vision (pp. 618–626).</w:t>
      </w:r>
    </w:p>
    <w:p w14:paraId="288C734E"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Shi, H., Han, X., Jiang, N., Cao, Y., </w:t>
      </w:r>
      <w:proofErr w:type="spellStart"/>
      <w:r w:rsidRPr="00080BC7">
        <w:rPr>
          <w:sz w:val="18"/>
          <w:szCs w:val="18"/>
        </w:rPr>
        <w:t>Alwalid</w:t>
      </w:r>
      <w:proofErr w:type="spellEnd"/>
      <w:r w:rsidRPr="00080BC7">
        <w:rPr>
          <w:sz w:val="18"/>
          <w:szCs w:val="18"/>
        </w:rPr>
        <w:t>, O., Gu, J., Fan, Y., &amp; Zheng, C. (2020). Radiological findings from 81 patients with COVID-19 pneumonia in Wuhan, China: A descriptive study. The Lancet Infectious Diseases, 20(4), 425–434.</w:t>
      </w:r>
    </w:p>
    <w:p w14:paraId="2F304783" w14:textId="77777777" w:rsidR="00042B5E" w:rsidRPr="00080BC7" w:rsidRDefault="00042B5E" w:rsidP="00042B5E">
      <w:pPr>
        <w:spacing w:after="40" w:line="276" w:lineRule="auto"/>
        <w:ind w:left="259" w:hanging="259"/>
        <w:jc w:val="both"/>
        <w:rPr>
          <w:sz w:val="18"/>
          <w:szCs w:val="18"/>
        </w:rPr>
      </w:pPr>
      <w:r w:rsidRPr="00080BC7">
        <w:rPr>
          <w:sz w:val="18"/>
          <w:szCs w:val="18"/>
        </w:rPr>
        <w:t>Simonyan, K., &amp; Zisserman, A. (2015). Very deep convolutional networks for large-scale image recognition. International Conference on Learning Representations.</w:t>
      </w:r>
    </w:p>
    <w:p w14:paraId="6A342DB3"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Soares, E., Angelov, P., </w:t>
      </w:r>
      <w:proofErr w:type="spellStart"/>
      <w:r w:rsidRPr="00080BC7">
        <w:rPr>
          <w:sz w:val="18"/>
          <w:szCs w:val="18"/>
        </w:rPr>
        <w:t>Biaso</w:t>
      </w:r>
      <w:proofErr w:type="spellEnd"/>
      <w:r w:rsidRPr="00080BC7">
        <w:rPr>
          <w:sz w:val="18"/>
          <w:szCs w:val="18"/>
        </w:rPr>
        <w:t xml:space="preserve">, S., Froes, M. H., &amp; Abe, D. K. (2020). SARS-CoV-2 CT-scan dataset: A large dataset of real patients CT scans for SARS-CoV-2 identification. </w:t>
      </w:r>
      <w:proofErr w:type="spellStart"/>
      <w:r w:rsidRPr="00080BC7">
        <w:rPr>
          <w:sz w:val="18"/>
          <w:szCs w:val="18"/>
        </w:rPr>
        <w:t>medRxiv</w:t>
      </w:r>
      <w:proofErr w:type="spellEnd"/>
      <w:r w:rsidRPr="00080BC7">
        <w:rPr>
          <w:sz w:val="18"/>
          <w:szCs w:val="18"/>
        </w:rPr>
        <w:t>.</w:t>
      </w:r>
    </w:p>
    <w:p w14:paraId="6ECA264F"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Szegedy, C., Vanhoucke, V., Ioffe, S., Shlens, J., &amp; </w:t>
      </w:r>
      <w:proofErr w:type="spellStart"/>
      <w:r w:rsidRPr="00080BC7">
        <w:rPr>
          <w:sz w:val="18"/>
          <w:szCs w:val="18"/>
        </w:rPr>
        <w:t>Wojna</w:t>
      </w:r>
      <w:proofErr w:type="spellEnd"/>
      <w:r w:rsidRPr="00080BC7">
        <w:rPr>
          <w:sz w:val="18"/>
          <w:szCs w:val="18"/>
        </w:rPr>
        <w:t>, Z. (2016). Rethinking the Inception architecture for computer vision. In Proceedings of the IEEE Conference on Computer Vision and Pattern Recognition (pp. 2818–2826).</w:t>
      </w:r>
    </w:p>
    <w:p w14:paraId="5C2C8F52" w14:textId="77777777" w:rsidR="00042B5E" w:rsidRPr="00080BC7" w:rsidRDefault="00042B5E" w:rsidP="00042B5E">
      <w:pPr>
        <w:spacing w:after="40" w:line="276" w:lineRule="auto"/>
        <w:ind w:left="259" w:hanging="259"/>
        <w:jc w:val="both"/>
        <w:rPr>
          <w:sz w:val="18"/>
          <w:szCs w:val="18"/>
        </w:rPr>
      </w:pPr>
      <w:r w:rsidRPr="00080BC7">
        <w:rPr>
          <w:sz w:val="18"/>
          <w:szCs w:val="18"/>
        </w:rPr>
        <w:t>Wang, L., Lin, Z. Q., &amp; Wong, A. (2020). COVID-Net: A tailored deep convolutional neural network design for detection of COVID-19 cases from chest X-ray images. Scientific Reports, 10, 19549.</w:t>
      </w:r>
    </w:p>
    <w:p w14:paraId="348328E9" w14:textId="77777777" w:rsidR="00042B5E" w:rsidRPr="00080BC7" w:rsidRDefault="00042B5E" w:rsidP="00042B5E">
      <w:pPr>
        <w:spacing w:after="40" w:line="276" w:lineRule="auto"/>
        <w:ind w:left="259" w:hanging="259"/>
        <w:jc w:val="both"/>
        <w:rPr>
          <w:sz w:val="18"/>
          <w:szCs w:val="18"/>
        </w:rPr>
      </w:pPr>
      <w:r w:rsidRPr="00080BC7">
        <w:rPr>
          <w:sz w:val="18"/>
          <w:szCs w:val="18"/>
        </w:rPr>
        <w:t xml:space="preserve">Zhao, J., Zhang, Y., He, X., &amp; Xie, P. (2020). COVID-CT-Dataset: A CT scan dataset about COVID-19. </w:t>
      </w:r>
      <w:proofErr w:type="spellStart"/>
      <w:r w:rsidRPr="00080BC7">
        <w:rPr>
          <w:sz w:val="18"/>
          <w:szCs w:val="18"/>
        </w:rPr>
        <w:t>arXiv</w:t>
      </w:r>
      <w:proofErr w:type="spellEnd"/>
      <w:r w:rsidRPr="00080BC7">
        <w:rPr>
          <w:sz w:val="18"/>
          <w:szCs w:val="18"/>
        </w:rPr>
        <w:t xml:space="preserve"> preprint arXiv:2003.13865.</w:t>
      </w:r>
    </w:p>
    <w:p w14:paraId="26C5509B" w14:textId="77777777" w:rsidR="00042B5E" w:rsidRPr="00080BC7" w:rsidRDefault="00042B5E" w:rsidP="00042B5E">
      <w:pPr>
        <w:spacing w:after="60" w:line="276" w:lineRule="auto"/>
        <w:jc w:val="both"/>
        <w:rPr>
          <w:sz w:val="18"/>
          <w:szCs w:val="18"/>
        </w:rPr>
      </w:pPr>
    </w:p>
    <w:p w14:paraId="7AB21B9A" w14:textId="77777777" w:rsidR="00042B5E" w:rsidRPr="005F09BB" w:rsidRDefault="00042B5E" w:rsidP="00042B5E">
      <w:pPr>
        <w:spacing w:line="276" w:lineRule="auto"/>
      </w:pPr>
    </w:p>
    <w:p w14:paraId="4E530B2F" w14:textId="77777777" w:rsidR="00042B5E" w:rsidRPr="00042B5E" w:rsidRDefault="00042B5E" w:rsidP="00042B5E">
      <w:pPr>
        <w:jc w:val="center"/>
        <w:rPr>
          <w:rFonts w:ascii="Sakkal Majalla" w:hAnsi="Sakkal Majalla" w:cs="Sakkal Majalla"/>
          <w:sz w:val="28"/>
          <w:szCs w:val="28"/>
          <w:rtl/>
          <w:lang w:bidi="ar-LY"/>
        </w:rPr>
      </w:pPr>
    </w:p>
    <w:sectPr w:rsidR="00042B5E" w:rsidRPr="00042B5E" w:rsidSect="008D0941">
      <w:headerReference w:type="even" r:id="rId14"/>
      <w:headerReference w:type="default" r:id="rId15"/>
      <w:footerReference w:type="even" r:id="rId16"/>
      <w:footerReference w:type="default" r:id="rId17"/>
      <w:headerReference w:type="first" r:id="rId18"/>
      <w:footerReference w:type="first" r:id="rId19"/>
      <w:pgSz w:w="11907" w:h="16840" w:code="9"/>
      <w:pgMar w:top="1134" w:right="1134" w:bottom="1134" w:left="1134" w:header="851" w:footer="907" w:gutter="0"/>
      <w:pgBorders w:offsetFrom="page">
        <w:top w:val="thinThickSmallGap" w:sz="18" w:space="24" w:color="ACB9CA" w:themeColor="text2" w:themeTint="66"/>
        <w:left w:val="thinThickSmallGap" w:sz="18" w:space="24" w:color="ACB9CA" w:themeColor="text2" w:themeTint="66"/>
        <w:bottom w:val="thickThinSmallGap" w:sz="18" w:space="24" w:color="ACB9CA" w:themeColor="text2" w:themeTint="66"/>
        <w:right w:val="thickThinSmallGap" w:sz="18" w:space="24" w:color="ACB9CA" w:themeColor="text2" w:themeTint="66"/>
      </w:pgBorders>
      <w:cols w:space="708"/>
      <w:titlePg/>
      <w:bidi/>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1BE945" w14:textId="77777777" w:rsidR="00547AE8" w:rsidRDefault="00547AE8" w:rsidP="000D687D">
      <w:pPr>
        <w:spacing w:after="0" w:line="240" w:lineRule="auto"/>
      </w:pPr>
      <w:r>
        <w:separator/>
      </w:r>
    </w:p>
  </w:endnote>
  <w:endnote w:type="continuationSeparator" w:id="0">
    <w:p w14:paraId="3E0BD902" w14:textId="77777777" w:rsidR="00547AE8" w:rsidRDefault="00547AE8" w:rsidP="000D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MS Mincho">
    <w:panose1 w:val="02020609040205080304"/>
    <w:charset w:val="80"/>
    <w:family w:val="modern"/>
    <w:pitch w:val="fixed"/>
    <w:sig w:usb0="E00002FF" w:usb1="6AC7FDFB" w:usb2="08000012" w:usb3="00000000" w:csb0="0002009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FF283" w14:textId="77777777" w:rsidR="006A2D43" w:rsidRDefault="006A2D43">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AE185" w14:textId="77777777" w:rsidR="006774A7" w:rsidRDefault="006774A7">
    <w:pPr>
      <w:pStyle w:val="a4"/>
    </w:pPr>
    <w:r w:rsidRPr="006774A7">
      <w:rPr>
        <w:noProof/>
      </w:rPr>
      <w:drawing>
        <wp:inline distT="0" distB="0" distL="0" distR="0" wp14:anchorId="291E908E" wp14:editId="149C63F1">
          <wp:extent cx="6120765" cy="648335"/>
          <wp:effectExtent l="0" t="0" r="0" b="0"/>
          <wp:docPr id="1488263094"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48335"/>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71EAC" w14:textId="77777777" w:rsidR="006774A7" w:rsidRDefault="006774A7">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7993EA" w14:textId="77777777" w:rsidR="00547AE8" w:rsidRDefault="00547AE8" w:rsidP="000D687D">
      <w:pPr>
        <w:spacing w:after="0" w:line="240" w:lineRule="auto"/>
      </w:pPr>
      <w:r>
        <w:separator/>
      </w:r>
    </w:p>
  </w:footnote>
  <w:footnote w:type="continuationSeparator" w:id="0">
    <w:p w14:paraId="7F403F08" w14:textId="77777777" w:rsidR="00547AE8" w:rsidRDefault="00547AE8" w:rsidP="000D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33945" w14:textId="77777777" w:rsidR="000E4D09" w:rsidRDefault="00000000">
    <w:pPr>
      <w:pStyle w:val="a3"/>
    </w:pPr>
    <w:r>
      <w:rPr>
        <w:noProof/>
      </w:rPr>
      <w:pict w14:anchorId="2EC677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6" o:spid="_x0000_s1041" type="#_x0000_t75" style="position:absolute;margin-left:0;margin-top:0;width:84.2pt;height:28.05pt;z-index:-251657728;mso-position-horizontal:center;mso-position-horizontal-relative:margin;mso-position-vertical:center;mso-position-vertical-relative:margin" o:allowincell="f">
          <v:imagedata r:id="rId1" o:title="0906"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BE909" w14:textId="77777777" w:rsidR="000E4D09" w:rsidRDefault="00000000">
    <w:pPr>
      <w:pStyle w:val="a3"/>
    </w:pPr>
    <w:r>
      <w:rPr>
        <w:noProof/>
      </w:rPr>
      <w:pict w14:anchorId="338E140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7" o:spid="_x0000_s1042" type="#_x0000_t75" style="position:absolute;margin-left:0;margin-top:0;width:84.2pt;height:28.05pt;z-index:-251656704;mso-position-horizontal:center;mso-position-horizontal-relative:margin;mso-position-vertical:center;mso-position-vertical-relative:margin" o:allowincell="f">
          <v:imagedata r:id="rId1" o:title="0906"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10"/>
      <w:tblW w:w="104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5533"/>
      <w:gridCol w:w="2959"/>
    </w:tblGrid>
    <w:tr w:rsidR="000D687D" w:rsidRPr="000D687D" w14:paraId="0D135018" w14:textId="77777777" w:rsidTr="00147C61">
      <w:trPr>
        <w:trHeight w:val="1702"/>
      </w:trPr>
      <w:tc>
        <w:tcPr>
          <w:tcW w:w="1980" w:type="dxa"/>
          <w:vAlign w:val="center"/>
        </w:tcPr>
        <w:p w14:paraId="70AF9F98" w14:textId="77777777" w:rsidR="000D687D" w:rsidRPr="00D43A2B" w:rsidRDefault="000D687D" w:rsidP="00E07A91">
          <w:pPr>
            <w:tabs>
              <w:tab w:val="center" w:pos="4706"/>
              <w:tab w:val="right" w:pos="9356"/>
            </w:tabs>
            <w:spacing w:line="200" w:lineRule="atLeast"/>
            <w:rPr>
              <w:rFonts w:ascii="Times New Roman" w:eastAsia="SimSun" w:hAnsi="Times New Roman" w:cs="Times New Roman"/>
              <w:noProof/>
              <w:sz w:val="14"/>
              <w:szCs w:val="20"/>
            </w:rPr>
          </w:pPr>
          <w:r w:rsidRPr="00D43A2B">
            <w:rPr>
              <w:rFonts w:ascii="Calibri" w:hAnsi="Calibri" w:cs="Arial"/>
              <w:noProof/>
              <w:sz w:val="16"/>
              <w:szCs w:val="16"/>
            </w:rPr>
            <w:drawing>
              <wp:anchor distT="0" distB="0" distL="114300" distR="114300" simplePos="0" relativeHeight="251655680" behindDoc="1" locked="0" layoutInCell="1" allowOverlap="1" wp14:anchorId="4EB2CB8C" wp14:editId="3C37A023">
                <wp:simplePos x="0" y="0"/>
                <wp:positionH relativeFrom="column">
                  <wp:posOffset>-118110</wp:posOffset>
                </wp:positionH>
                <wp:positionV relativeFrom="paragraph">
                  <wp:posOffset>-78740</wp:posOffset>
                </wp:positionV>
                <wp:extent cx="991870" cy="967740"/>
                <wp:effectExtent l="0" t="0" r="0" b="3810"/>
                <wp:wrapNone/>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pic:cNvPicPr>
                          <a:picLocks noChangeAspect="1" noChangeArrowheads="1"/>
                        </pic:cNvPicPr>
                      </pic:nvPicPr>
                      <pic:blipFill>
                        <a:blip r:embed="rId1">
                          <a:extLst>
                            <a:ext uri="{BEBA8EAE-BF5A-486C-A8C5-ECC9F3942E4B}">
                              <a14:imgProps xmlns:a14="http://schemas.microsoft.com/office/drawing/2010/main">
                                <a14:imgLayer r:embed="rId2">
                                  <a14:imgEffect>
                                    <a14:saturation sat="400000"/>
                                  </a14:imgEffect>
                                </a14:imgLayer>
                              </a14:imgProps>
                            </a:ext>
                            <a:ext uri="{28A0092B-C50C-407E-A947-70E740481C1C}">
                              <a14:useLocalDpi xmlns:a14="http://schemas.microsoft.com/office/drawing/2010/main" val="0"/>
                            </a:ext>
                          </a:extLst>
                        </a:blip>
                        <a:srcRect t="2744" b="2744"/>
                        <a:stretch>
                          <a:fillRect/>
                        </a:stretch>
                      </pic:blipFill>
                      <pic:spPr bwMode="auto">
                        <a:xfrm>
                          <a:off x="0" y="0"/>
                          <a:ext cx="991870" cy="967740"/>
                        </a:xfrm>
                        <a:prstGeom prst="rect">
                          <a:avLst/>
                        </a:prstGeom>
                        <a:noFill/>
                        <a:ln>
                          <a:noFill/>
                        </a:ln>
                        <a:extLst>
                          <a:ext uri="{53640926-AAD7-44D8-BBD7-CCE9431645EC}">
                            <a14:shadowObscured xmlns:a14="http://schemas.microsoft.com/office/drawing/2010/main"/>
                          </a:ext>
                        </a:extLst>
                      </pic:spPr>
                    </pic:pic>
                  </a:graphicData>
                </a:graphic>
              </wp:anchor>
            </w:drawing>
          </w:r>
        </w:p>
      </w:tc>
      <w:tc>
        <w:tcPr>
          <w:tcW w:w="5533" w:type="dxa"/>
          <w:shd w:val="clear" w:color="auto" w:fill="002060"/>
          <w:vAlign w:val="center"/>
        </w:tcPr>
        <w:p w14:paraId="1C8A6CFA" w14:textId="77777777" w:rsidR="00147C61" w:rsidRDefault="00147C61" w:rsidP="004E6812">
          <w:pPr>
            <w:widowControl w:val="0"/>
            <w:spacing w:line="230" w:lineRule="exact"/>
            <w:jc w:val="center"/>
            <w:rPr>
              <w:rFonts w:ascii="Traditional Arabic" w:eastAsia="SimSun" w:hAnsi="Traditional Arabic" w:cs="Traditional Arabic"/>
              <w:b/>
              <w:color w:val="800000"/>
              <w:sz w:val="24"/>
              <w:szCs w:val="24"/>
            </w:rPr>
          </w:pPr>
          <w:r w:rsidRPr="00822B2C">
            <w:rPr>
              <w:b/>
              <w:bCs/>
              <w:sz w:val="28"/>
              <w:szCs w:val="28"/>
              <w:rtl/>
            </w:rPr>
            <w:t>مجلة السلام الدولية</w:t>
          </w:r>
          <w:r w:rsidRPr="00822B2C">
            <w:rPr>
              <w:rFonts w:hint="cs"/>
              <w:b/>
              <w:bCs/>
              <w:sz w:val="28"/>
              <w:szCs w:val="28"/>
              <w:rtl/>
            </w:rPr>
            <w:t xml:space="preserve"> للعلوم الإنسانية والتطبيقية</w:t>
          </w:r>
        </w:p>
        <w:p w14:paraId="058375BC" w14:textId="77777777" w:rsidR="00147C61" w:rsidRDefault="00147C61" w:rsidP="004E6812">
          <w:pPr>
            <w:widowControl w:val="0"/>
            <w:spacing w:line="230" w:lineRule="exact"/>
            <w:jc w:val="center"/>
            <w:rPr>
              <w:b/>
              <w:bCs/>
              <w:i/>
              <w:iCs/>
            </w:rPr>
          </w:pPr>
          <w:proofErr w:type="spellStart"/>
          <w:r w:rsidRPr="00D74CE4">
            <w:rPr>
              <w:b/>
              <w:bCs/>
              <w:i/>
              <w:iCs/>
            </w:rPr>
            <w:t>A</w:t>
          </w:r>
          <w:r>
            <w:rPr>
              <w:b/>
              <w:bCs/>
              <w:i/>
              <w:iCs/>
            </w:rPr>
            <w:t>l</w:t>
          </w:r>
          <w:r w:rsidRPr="00D74CE4">
            <w:rPr>
              <w:b/>
              <w:bCs/>
              <w:i/>
              <w:iCs/>
            </w:rPr>
            <w:t>sslam</w:t>
          </w:r>
          <w:proofErr w:type="spellEnd"/>
          <w:r w:rsidRPr="00D74CE4">
            <w:rPr>
              <w:b/>
              <w:bCs/>
              <w:i/>
              <w:iCs/>
            </w:rPr>
            <w:t xml:space="preserve"> International Journal</w:t>
          </w:r>
        </w:p>
        <w:p w14:paraId="1F4868A4" w14:textId="77777777" w:rsidR="000D687D" w:rsidRPr="008901EA" w:rsidRDefault="00147C61" w:rsidP="004E6812">
          <w:pPr>
            <w:widowControl w:val="0"/>
            <w:spacing w:line="230" w:lineRule="exact"/>
            <w:jc w:val="center"/>
            <w:rPr>
              <w:rFonts w:ascii="Traditional Arabic" w:eastAsia="SimSun" w:hAnsi="Traditional Arabic" w:cs="Traditional Arabic"/>
              <w:b/>
              <w:color w:val="FFC000"/>
              <w:sz w:val="24"/>
              <w:szCs w:val="24"/>
              <w:lang w:val="en-US"/>
            </w:rPr>
          </w:pPr>
          <w:r>
            <w:rPr>
              <w:b/>
              <w:bCs/>
              <w:i/>
              <w:iCs/>
            </w:rPr>
            <w:t xml:space="preserve"> Humanities and Applied Sciences</w:t>
          </w:r>
        </w:p>
        <w:p w14:paraId="37E33006" w14:textId="77777777" w:rsidR="000D687D" w:rsidRPr="00147C61" w:rsidRDefault="000D687D" w:rsidP="000D687D">
          <w:pPr>
            <w:widowControl w:val="0"/>
            <w:bidi/>
            <w:spacing w:line="230" w:lineRule="exact"/>
            <w:jc w:val="center"/>
            <w:rPr>
              <w:rFonts w:ascii="Traditional Arabic" w:eastAsia="SimSun" w:hAnsi="Traditional Arabic" w:cs="Traditional Arabic"/>
              <w:bCs/>
              <w:color w:val="FFF2CC" w:themeColor="accent4" w:themeTint="33"/>
              <w:sz w:val="24"/>
              <w:szCs w:val="24"/>
              <w:rtl/>
              <w:lang w:bidi="ar-LY"/>
            </w:rPr>
          </w:pPr>
          <w:r w:rsidRPr="00147C61">
            <w:rPr>
              <w:rFonts w:ascii="Traditional Arabic" w:eastAsia="SimSun" w:hAnsi="Traditional Arabic" w:cs="Traditional Arabic"/>
              <w:bCs/>
              <w:color w:val="FFF2CC" w:themeColor="accent4" w:themeTint="33"/>
              <w:sz w:val="24"/>
              <w:szCs w:val="24"/>
              <w:rtl/>
            </w:rPr>
            <w:t xml:space="preserve">تصدر </w:t>
          </w:r>
          <w:r w:rsidR="00147C61">
            <w:rPr>
              <w:rFonts w:ascii="Traditional Arabic" w:eastAsia="SimSun" w:hAnsi="Traditional Arabic" w:cs="Traditional Arabic" w:hint="cs"/>
              <w:bCs/>
              <w:color w:val="FFF2CC" w:themeColor="accent4" w:themeTint="33"/>
              <w:sz w:val="24"/>
              <w:szCs w:val="24"/>
              <w:rtl/>
            </w:rPr>
            <w:t>عن جامعة السلام الدولية</w:t>
          </w:r>
        </w:p>
        <w:p w14:paraId="21B624DB" w14:textId="77777777" w:rsidR="000D687D" w:rsidRPr="00D43A2B" w:rsidRDefault="00147C61" w:rsidP="001A172E">
          <w:pPr>
            <w:tabs>
              <w:tab w:val="center" w:pos="4706"/>
              <w:tab w:val="right" w:pos="9356"/>
            </w:tabs>
            <w:jc w:val="center"/>
            <w:rPr>
              <w:rFonts w:asciiTheme="majorHAnsi" w:eastAsia="SimSun" w:hAnsiTheme="majorHAnsi" w:cstheme="majorHAnsi"/>
              <w:noProof/>
              <w:sz w:val="14"/>
              <w:szCs w:val="20"/>
            </w:rPr>
          </w:pPr>
          <w:r w:rsidRPr="00147C61">
            <w:rPr>
              <w:rFonts w:ascii="Traditional Arabic" w:eastAsia="SimSun" w:hAnsi="Traditional Arabic" w:cs="Traditional Arabic"/>
              <w:bCs/>
              <w:color w:val="EDEDED" w:themeColor="accent3" w:themeTint="33"/>
              <w:sz w:val="24"/>
              <w:szCs w:val="24"/>
            </w:rPr>
            <w:t xml:space="preserve">https://ojs.aiu.edu.ly/index.php/journal </w:t>
          </w:r>
        </w:p>
      </w:tc>
      <w:tc>
        <w:tcPr>
          <w:tcW w:w="2959" w:type="dxa"/>
          <w:tcBorders>
            <w:left w:val="nil"/>
          </w:tcBorders>
          <w:vAlign w:val="center"/>
        </w:tcPr>
        <w:p w14:paraId="63B0B4C2" w14:textId="77777777" w:rsidR="000D687D" w:rsidRPr="000D687D" w:rsidRDefault="0078737C" w:rsidP="000D687D">
          <w:pPr>
            <w:tabs>
              <w:tab w:val="center" w:pos="4706"/>
              <w:tab w:val="right" w:pos="9356"/>
            </w:tabs>
            <w:spacing w:after="80" w:line="200" w:lineRule="atLeast"/>
            <w:jc w:val="center"/>
            <w:rPr>
              <w:rFonts w:ascii="Times New Roman" w:eastAsia="SimSun" w:hAnsi="Times New Roman" w:cs="Times New Roman"/>
              <w:noProof/>
              <w:sz w:val="14"/>
              <w:szCs w:val="20"/>
            </w:rPr>
          </w:pPr>
          <w:r>
            <w:rPr>
              <w:rFonts w:ascii="Times New Roman" w:eastAsia="SimSun" w:hAnsi="Times New Roman" w:cs="Times New Roman"/>
              <w:noProof/>
              <w:sz w:val="14"/>
              <w:szCs w:val="20"/>
            </w:rPr>
            <w:drawing>
              <wp:anchor distT="0" distB="0" distL="114300" distR="114300" simplePos="0" relativeHeight="251656704" behindDoc="1" locked="0" layoutInCell="1" allowOverlap="1" wp14:anchorId="3D07363B" wp14:editId="58B85544">
                <wp:simplePos x="0" y="0"/>
                <wp:positionH relativeFrom="column">
                  <wp:posOffset>187325</wp:posOffset>
                </wp:positionH>
                <wp:positionV relativeFrom="paragraph">
                  <wp:posOffset>-74295</wp:posOffset>
                </wp:positionV>
                <wp:extent cx="1348740" cy="449580"/>
                <wp:effectExtent l="0" t="0" r="3810" b="7620"/>
                <wp:wrapNone/>
                <wp:docPr id="1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صورة 12"/>
                        <pic:cNvPicPr/>
                      </pic:nvPicPr>
                      <pic:blipFill>
                        <a:blip r:embed="rId3">
                          <a:extLst>
                            <a:ext uri="{28A0092B-C50C-407E-A947-70E740481C1C}">
                              <a14:useLocalDpi xmlns:a14="http://schemas.microsoft.com/office/drawing/2010/main" val="0"/>
                            </a:ext>
                          </a:extLst>
                        </a:blip>
                        <a:stretch>
                          <a:fillRect/>
                        </a:stretch>
                      </pic:blipFill>
                      <pic:spPr>
                        <a:xfrm>
                          <a:off x="0" y="0"/>
                          <a:ext cx="1348740" cy="449580"/>
                        </a:xfrm>
                        <a:prstGeom prst="rect">
                          <a:avLst/>
                        </a:prstGeom>
                      </pic:spPr>
                    </pic:pic>
                  </a:graphicData>
                </a:graphic>
              </wp:anchor>
            </w:drawing>
          </w:r>
        </w:p>
      </w:tc>
    </w:tr>
  </w:tbl>
  <w:p w14:paraId="38F4657D" w14:textId="77777777" w:rsidR="00D43A2B" w:rsidRDefault="00000000">
    <w:pPr>
      <w:pStyle w:val="a3"/>
    </w:pPr>
    <w:r>
      <w:rPr>
        <w:noProof/>
      </w:rPr>
      <w:pict w14:anchorId="093CD1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784765" o:spid="_x0000_s1040" type="#_x0000_t75" style="position:absolute;margin-left:0;margin-top:0;width:84.2pt;height:28.05pt;z-index:-251658752;mso-position-horizontal:center;mso-position-horizontal-relative:margin;mso-position-vertical:center;mso-position-vertical-relative:margin" o:allowincell="f">
          <v:imagedata r:id="rId4" o:title="0906" gain="19661f" blacklevel="22938f"/>
          <w10:wrap anchorx="margin" anchory="margin"/>
        </v:shape>
      </w:pict>
    </w:r>
  </w:p>
  <w:tbl>
    <w:tblPr>
      <w:bidiVisual/>
      <w:tblW w:w="4654" w:type="pct"/>
      <w:jc w:val="right"/>
      <w:shd w:val="clear" w:color="auto" w:fill="1F4E79" w:themeFill="accent1" w:themeFillShade="80"/>
      <w:tblCellMar>
        <w:top w:w="115" w:type="dxa"/>
        <w:left w:w="115" w:type="dxa"/>
        <w:bottom w:w="115" w:type="dxa"/>
        <w:right w:w="115" w:type="dxa"/>
      </w:tblCellMar>
      <w:tblLook w:val="04A0" w:firstRow="1" w:lastRow="0" w:firstColumn="1" w:lastColumn="0" w:noHBand="0" w:noVBand="1"/>
    </w:tblPr>
    <w:tblGrid>
      <w:gridCol w:w="8972"/>
    </w:tblGrid>
    <w:tr w:rsidR="005565E5" w:rsidRPr="00D43A2B" w14:paraId="232B2493" w14:textId="77777777" w:rsidTr="005565E5">
      <w:trPr>
        <w:jc w:val="right"/>
      </w:trPr>
      <w:tc>
        <w:tcPr>
          <w:tcW w:w="0" w:type="auto"/>
          <w:shd w:val="clear" w:color="auto" w:fill="1F4E79" w:themeFill="accent1" w:themeFillShade="80"/>
          <w:vAlign w:val="center"/>
        </w:tcPr>
        <w:p w14:paraId="12E62BCD" w14:textId="638D1041" w:rsidR="005565E5" w:rsidRPr="005565E5" w:rsidRDefault="00000000" w:rsidP="005565E5">
          <w:pPr>
            <w:pStyle w:val="a3"/>
            <w:shd w:val="clear" w:color="auto" w:fill="00B0F0"/>
            <w:jc w:val="center"/>
            <w:rPr>
              <w:rFonts w:cstheme="minorHAnsi"/>
              <w:b/>
              <w:bCs/>
              <w:caps/>
              <w:color w:val="F4B083" w:themeColor="accent2" w:themeTint="99"/>
            </w:rPr>
          </w:pPr>
          <w:sdt>
            <w:sdtPr>
              <w:rPr>
                <w:rFonts w:eastAsia="SimSun" w:cstheme="minorHAnsi"/>
                <w:b/>
                <w:bCs/>
                <w:iCs/>
                <w:noProof/>
                <w:sz w:val="20"/>
                <w:szCs w:val="20"/>
              </w:rPr>
              <w:alias w:val="العنوان"/>
              <w:tag w:val=""/>
              <w:id w:val="-362279469"/>
              <w:placeholder>
                <w:docPart w:val="C3C8F5CF9B234C8C8172A3C2E5012D7F"/>
              </w:placeholder>
            </w:sdtPr>
            <w:sdtContent>
              <w:r w:rsidR="005565E5" w:rsidRPr="005565E5">
                <w:rPr>
                  <w:rFonts w:asciiTheme="majorBidi" w:eastAsia="SimSun" w:hAnsiTheme="majorBidi" w:cstheme="majorBidi"/>
                  <w:b/>
                  <w:bCs/>
                  <w:iCs/>
                  <w:noProof/>
                  <w:sz w:val="20"/>
                  <w:szCs w:val="20"/>
                </w:rPr>
                <w:t xml:space="preserve">Article history : Received </w:t>
              </w:r>
              <w:r w:rsidR="006A2D43">
                <w:rPr>
                  <w:rFonts w:asciiTheme="majorBidi" w:eastAsia="SimSun" w:hAnsiTheme="majorBidi" w:cstheme="majorBidi"/>
                  <w:b/>
                  <w:bCs/>
                  <w:iCs/>
                  <w:noProof/>
                  <w:sz w:val="20"/>
                  <w:szCs w:val="20"/>
                </w:rPr>
                <w:t xml:space="preserve">20JUNE </w:t>
              </w:r>
              <w:r w:rsidR="005565E5" w:rsidRPr="005565E5">
                <w:rPr>
                  <w:rFonts w:asciiTheme="majorBidi" w:eastAsia="SimSun" w:hAnsiTheme="majorBidi" w:cstheme="majorBidi"/>
                  <w:b/>
                  <w:bCs/>
                  <w:iCs/>
                  <w:noProof/>
                  <w:sz w:val="20"/>
                  <w:szCs w:val="20"/>
                </w:rPr>
                <w:t xml:space="preserve"> </w:t>
              </w:r>
              <w:r w:rsidR="006A2D43">
                <w:rPr>
                  <w:rFonts w:asciiTheme="majorBidi" w:eastAsia="SimSun" w:hAnsiTheme="majorBidi" w:cstheme="majorBidi" w:hint="cs"/>
                  <w:b/>
                  <w:bCs/>
                  <w:i/>
                  <w:noProof/>
                  <w:sz w:val="20"/>
                  <w:szCs w:val="20"/>
                  <w:rtl/>
                </w:rPr>
                <w:t>2026</w:t>
              </w:r>
              <w:r w:rsidR="005565E5" w:rsidRPr="005565E5">
                <w:rPr>
                  <w:rFonts w:asciiTheme="majorBidi" w:eastAsia="SimSun" w:hAnsiTheme="majorBidi" w:cstheme="majorBidi"/>
                  <w:b/>
                  <w:bCs/>
                  <w:iCs/>
                  <w:noProof/>
                  <w:sz w:val="20"/>
                  <w:szCs w:val="20"/>
                </w:rPr>
                <w:t xml:space="preserve">  -   Accepted </w:t>
              </w:r>
              <w:r w:rsidR="006A2D43">
                <w:rPr>
                  <w:rFonts w:asciiTheme="majorBidi" w:eastAsia="SimSun" w:hAnsiTheme="majorBidi" w:cstheme="majorBidi"/>
                  <w:b/>
                  <w:bCs/>
                  <w:iCs/>
                  <w:noProof/>
                  <w:sz w:val="20"/>
                  <w:szCs w:val="20"/>
                </w:rPr>
                <w:t>30</w:t>
              </w:r>
              <w:r w:rsidR="005565E5" w:rsidRPr="005565E5">
                <w:rPr>
                  <w:rFonts w:asciiTheme="majorBidi" w:eastAsia="SimSun" w:hAnsiTheme="majorBidi" w:cstheme="majorBidi"/>
                  <w:b/>
                  <w:bCs/>
                  <w:iCs/>
                  <w:noProof/>
                  <w:sz w:val="20"/>
                  <w:szCs w:val="20"/>
                </w:rPr>
                <w:t xml:space="preserve"> </w:t>
              </w:r>
              <w:r w:rsidR="006A2D43">
                <w:rPr>
                  <w:rFonts w:asciiTheme="majorBidi" w:eastAsia="SimSun" w:hAnsiTheme="majorBidi" w:cstheme="majorBidi"/>
                  <w:b/>
                  <w:bCs/>
                  <w:iCs/>
                  <w:noProof/>
                  <w:sz w:val="20"/>
                  <w:szCs w:val="20"/>
                </w:rPr>
                <w:t>JULY</w:t>
              </w:r>
              <w:r w:rsidR="005565E5" w:rsidRPr="005565E5">
                <w:rPr>
                  <w:rFonts w:asciiTheme="majorBidi" w:eastAsia="SimSun" w:hAnsiTheme="majorBidi" w:cstheme="majorBidi"/>
                  <w:b/>
                  <w:bCs/>
                  <w:iCs/>
                  <w:noProof/>
                  <w:sz w:val="20"/>
                  <w:szCs w:val="20"/>
                </w:rPr>
                <w:t xml:space="preserve"> </w:t>
              </w:r>
              <w:r w:rsidR="006A2D43">
                <w:rPr>
                  <w:rFonts w:asciiTheme="majorBidi" w:eastAsia="SimSun" w:hAnsiTheme="majorBidi" w:cstheme="majorBidi" w:hint="cs"/>
                  <w:b/>
                  <w:bCs/>
                  <w:i/>
                  <w:noProof/>
                  <w:sz w:val="20"/>
                  <w:szCs w:val="20"/>
                  <w:rtl/>
                </w:rPr>
                <w:t>2026</w:t>
              </w:r>
            </w:sdtContent>
          </w:sdt>
        </w:p>
      </w:tc>
    </w:tr>
  </w:tbl>
  <w:p w14:paraId="4926F1B8" w14:textId="77777777" w:rsidR="005565E5" w:rsidRDefault="005565E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457FA"/>
    <w:multiLevelType w:val="hybridMultilevel"/>
    <w:tmpl w:val="2B6E681E"/>
    <w:lvl w:ilvl="0" w:tplc="FFFFFFFF">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E9032B"/>
    <w:multiLevelType w:val="hybridMultilevel"/>
    <w:tmpl w:val="6CD20C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CA28A1"/>
    <w:multiLevelType w:val="hybridMultilevel"/>
    <w:tmpl w:val="591ABFBE"/>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3D3F66"/>
    <w:multiLevelType w:val="hybridMultilevel"/>
    <w:tmpl w:val="407C66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0DC7A48"/>
    <w:multiLevelType w:val="hybridMultilevel"/>
    <w:tmpl w:val="D742C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970D21"/>
    <w:multiLevelType w:val="hybridMultilevel"/>
    <w:tmpl w:val="CD583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29149F"/>
    <w:multiLevelType w:val="hybridMultilevel"/>
    <w:tmpl w:val="96E0A3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F71C3F"/>
    <w:multiLevelType w:val="hybridMultilevel"/>
    <w:tmpl w:val="897AB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2374D"/>
    <w:multiLevelType w:val="hybridMultilevel"/>
    <w:tmpl w:val="A1108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0F2358"/>
    <w:multiLevelType w:val="hybridMultilevel"/>
    <w:tmpl w:val="5630D8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82B5E"/>
    <w:multiLevelType w:val="hybridMultilevel"/>
    <w:tmpl w:val="D4600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6123CE"/>
    <w:multiLevelType w:val="hybridMultilevel"/>
    <w:tmpl w:val="A2AA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8862206"/>
    <w:multiLevelType w:val="hybridMultilevel"/>
    <w:tmpl w:val="DEC610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C891303"/>
    <w:multiLevelType w:val="hybridMultilevel"/>
    <w:tmpl w:val="A16E7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564312"/>
    <w:multiLevelType w:val="hybridMultilevel"/>
    <w:tmpl w:val="80B8AD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E543E8"/>
    <w:multiLevelType w:val="hybridMultilevel"/>
    <w:tmpl w:val="96944F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264795"/>
    <w:multiLevelType w:val="hybridMultilevel"/>
    <w:tmpl w:val="DD84BD98"/>
    <w:lvl w:ilvl="0" w:tplc="F2FEB1BA">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DCA79FB"/>
    <w:multiLevelType w:val="hybridMultilevel"/>
    <w:tmpl w:val="CE2615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0A6735"/>
    <w:multiLevelType w:val="hybridMultilevel"/>
    <w:tmpl w:val="33C687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893B8D"/>
    <w:multiLevelType w:val="hybridMultilevel"/>
    <w:tmpl w:val="A8EC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53261C89"/>
    <w:multiLevelType w:val="hybridMultilevel"/>
    <w:tmpl w:val="E3F0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45037F7"/>
    <w:multiLevelType w:val="hybridMultilevel"/>
    <w:tmpl w:val="5D8E85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abstractNum w:abstractNumId="23" w15:restartNumberingAfterBreak="0">
    <w:nsid w:val="600F5B3D"/>
    <w:multiLevelType w:val="multilevel"/>
    <w:tmpl w:val="F222A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2941D2E"/>
    <w:multiLevelType w:val="hybridMultilevel"/>
    <w:tmpl w:val="590A5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EDA7F82"/>
    <w:multiLevelType w:val="hybridMultilevel"/>
    <w:tmpl w:val="D62C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1081601"/>
    <w:multiLevelType w:val="hybridMultilevel"/>
    <w:tmpl w:val="98EAAF84"/>
    <w:lvl w:ilvl="0" w:tplc="9C06370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17E3D91"/>
    <w:multiLevelType w:val="hybridMultilevel"/>
    <w:tmpl w:val="4F10AE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885170"/>
    <w:multiLevelType w:val="hybridMultilevel"/>
    <w:tmpl w:val="EDB870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2A5021A"/>
    <w:multiLevelType w:val="hybridMultilevel"/>
    <w:tmpl w:val="A9D252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74AA715F"/>
    <w:multiLevelType w:val="hybridMultilevel"/>
    <w:tmpl w:val="50704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61453B"/>
    <w:multiLevelType w:val="hybridMultilevel"/>
    <w:tmpl w:val="7924F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B20E06"/>
    <w:multiLevelType w:val="hybridMultilevel"/>
    <w:tmpl w:val="B91E63A6"/>
    <w:lvl w:ilvl="0" w:tplc="76283B8C">
      <w:start w:val="1"/>
      <w:numFmt w:val="decimal"/>
      <w:lvlText w:val="%1."/>
      <w:lvlJc w:val="left"/>
      <w:pPr>
        <w:ind w:left="720" w:hanging="360"/>
      </w:pPr>
      <w:rPr>
        <w:rFonts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39811302">
    <w:abstractNumId w:val="22"/>
  </w:num>
  <w:num w:numId="2" w16cid:durableId="389420682">
    <w:abstractNumId w:val="32"/>
  </w:num>
  <w:num w:numId="3" w16cid:durableId="566454947">
    <w:abstractNumId w:val="30"/>
  </w:num>
  <w:num w:numId="4" w16cid:durableId="92752471">
    <w:abstractNumId w:val="21"/>
  </w:num>
  <w:num w:numId="5" w16cid:durableId="1464692818">
    <w:abstractNumId w:val="6"/>
  </w:num>
  <w:num w:numId="6" w16cid:durableId="1739286675">
    <w:abstractNumId w:val="31"/>
  </w:num>
  <w:num w:numId="7" w16cid:durableId="1029064239">
    <w:abstractNumId w:val="19"/>
  </w:num>
  <w:num w:numId="8" w16cid:durableId="1142648679">
    <w:abstractNumId w:val="3"/>
  </w:num>
  <w:num w:numId="9" w16cid:durableId="1863082650">
    <w:abstractNumId w:val="23"/>
  </w:num>
  <w:num w:numId="10" w16cid:durableId="321154958">
    <w:abstractNumId w:val="28"/>
  </w:num>
  <w:num w:numId="11" w16cid:durableId="871843366">
    <w:abstractNumId w:val="12"/>
  </w:num>
  <w:num w:numId="12" w16cid:durableId="1493911615">
    <w:abstractNumId w:val="13"/>
  </w:num>
  <w:num w:numId="13" w16cid:durableId="1545483828">
    <w:abstractNumId w:val="14"/>
  </w:num>
  <w:num w:numId="14" w16cid:durableId="442459464">
    <w:abstractNumId w:val="27"/>
  </w:num>
  <w:num w:numId="15" w16cid:durableId="983923801">
    <w:abstractNumId w:val="15"/>
  </w:num>
  <w:num w:numId="16" w16cid:durableId="391780090">
    <w:abstractNumId w:val="17"/>
  </w:num>
  <w:num w:numId="17" w16cid:durableId="1768696350">
    <w:abstractNumId w:val="25"/>
  </w:num>
  <w:num w:numId="18" w16cid:durableId="467170891">
    <w:abstractNumId w:val="9"/>
  </w:num>
  <w:num w:numId="19" w16cid:durableId="446781484">
    <w:abstractNumId w:val="18"/>
  </w:num>
  <w:num w:numId="20" w16cid:durableId="576281128">
    <w:abstractNumId w:val="11"/>
  </w:num>
  <w:num w:numId="21" w16cid:durableId="1436562909">
    <w:abstractNumId w:val="20"/>
  </w:num>
  <w:num w:numId="22" w16cid:durableId="2110465281">
    <w:abstractNumId w:val="0"/>
  </w:num>
  <w:num w:numId="23" w16cid:durableId="2001349280">
    <w:abstractNumId w:val="1"/>
  </w:num>
  <w:num w:numId="24" w16cid:durableId="1124467171">
    <w:abstractNumId w:val="24"/>
  </w:num>
  <w:num w:numId="25" w16cid:durableId="906955757">
    <w:abstractNumId w:val="10"/>
  </w:num>
  <w:num w:numId="26" w16cid:durableId="1340742780">
    <w:abstractNumId w:val="29"/>
  </w:num>
  <w:num w:numId="27" w16cid:durableId="584530743">
    <w:abstractNumId w:val="16"/>
  </w:num>
  <w:num w:numId="28" w16cid:durableId="543060190">
    <w:abstractNumId w:val="2"/>
  </w:num>
  <w:num w:numId="29" w16cid:durableId="782923392">
    <w:abstractNumId w:val="26"/>
  </w:num>
  <w:num w:numId="30" w16cid:durableId="1972978354">
    <w:abstractNumId w:val="7"/>
  </w:num>
  <w:num w:numId="31" w16cid:durableId="2141023148">
    <w:abstractNumId w:val="5"/>
  </w:num>
  <w:num w:numId="32" w16cid:durableId="1512986379">
    <w:abstractNumId w:val="4"/>
  </w:num>
  <w:num w:numId="33" w16cid:durableId="147502552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91"/>
    <w:rsid w:val="00012A84"/>
    <w:rsid w:val="000132A0"/>
    <w:rsid w:val="0003231E"/>
    <w:rsid w:val="00042B5E"/>
    <w:rsid w:val="000737BF"/>
    <w:rsid w:val="0009258E"/>
    <w:rsid w:val="0009439C"/>
    <w:rsid w:val="000A2763"/>
    <w:rsid w:val="000A3BEE"/>
    <w:rsid w:val="000D687D"/>
    <w:rsid w:val="000E4D09"/>
    <w:rsid w:val="001109DE"/>
    <w:rsid w:val="00115B73"/>
    <w:rsid w:val="00130CA6"/>
    <w:rsid w:val="001433A0"/>
    <w:rsid w:val="00147C61"/>
    <w:rsid w:val="00156E69"/>
    <w:rsid w:val="00161094"/>
    <w:rsid w:val="00167D77"/>
    <w:rsid w:val="00196300"/>
    <w:rsid w:val="001A172E"/>
    <w:rsid w:val="001B40C1"/>
    <w:rsid w:val="00207F72"/>
    <w:rsid w:val="002579D3"/>
    <w:rsid w:val="00296FE1"/>
    <w:rsid w:val="002C4D77"/>
    <w:rsid w:val="002F6B12"/>
    <w:rsid w:val="003008AA"/>
    <w:rsid w:val="00341FF3"/>
    <w:rsid w:val="003450C4"/>
    <w:rsid w:val="003A465F"/>
    <w:rsid w:val="003E541A"/>
    <w:rsid w:val="00427B38"/>
    <w:rsid w:val="0043533C"/>
    <w:rsid w:val="00440037"/>
    <w:rsid w:val="004A032C"/>
    <w:rsid w:val="004B3CEB"/>
    <w:rsid w:val="004E6812"/>
    <w:rsid w:val="005162FC"/>
    <w:rsid w:val="00547AE8"/>
    <w:rsid w:val="0055238B"/>
    <w:rsid w:val="005565E5"/>
    <w:rsid w:val="005731F9"/>
    <w:rsid w:val="005B2CEB"/>
    <w:rsid w:val="005B3ED5"/>
    <w:rsid w:val="005E7E8F"/>
    <w:rsid w:val="006103E2"/>
    <w:rsid w:val="0065374C"/>
    <w:rsid w:val="00662510"/>
    <w:rsid w:val="006741B5"/>
    <w:rsid w:val="006774A7"/>
    <w:rsid w:val="00683EA6"/>
    <w:rsid w:val="00693580"/>
    <w:rsid w:val="00697091"/>
    <w:rsid w:val="006A2D43"/>
    <w:rsid w:val="006A5034"/>
    <w:rsid w:val="006E71D3"/>
    <w:rsid w:val="007274C1"/>
    <w:rsid w:val="00741310"/>
    <w:rsid w:val="00753FA3"/>
    <w:rsid w:val="00766F95"/>
    <w:rsid w:val="0078737C"/>
    <w:rsid w:val="0079479C"/>
    <w:rsid w:val="007A33BE"/>
    <w:rsid w:val="007B19A5"/>
    <w:rsid w:val="00821356"/>
    <w:rsid w:val="00833210"/>
    <w:rsid w:val="008738CC"/>
    <w:rsid w:val="008901EA"/>
    <w:rsid w:val="008D0941"/>
    <w:rsid w:val="00916577"/>
    <w:rsid w:val="00975303"/>
    <w:rsid w:val="009D20FD"/>
    <w:rsid w:val="009D5A0F"/>
    <w:rsid w:val="009E051E"/>
    <w:rsid w:val="009E1C01"/>
    <w:rsid w:val="00A160CE"/>
    <w:rsid w:val="00A430EE"/>
    <w:rsid w:val="00A44D3D"/>
    <w:rsid w:val="00A5710D"/>
    <w:rsid w:val="00AB41E5"/>
    <w:rsid w:val="00AF2407"/>
    <w:rsid w:val="00AF636C"/>
    <w:rsid w:val="00B42AC2"/>
    <w:rsid w:val="00B45F26"/>
    <w:rsid w:val="00B67EE8"/>
    <w:rsid w:val="00B75951"/>
    <w:rsid w:val="00BA0B80"/>
    <w:rsid w:val="00BD0E1A"/>
    <w:rsid w:val="00C25D87"/>
    <w:rsid w:val="00C42EBE"/>
    <w:rsid w:val="00C614FD"/>
    <w:rsid w:val="00CA2C33"/>
    <w:rsid w:val="00CB1C91"/>
    <w:rsid w:val="00CB205A"/>
    <w:rsid w:val="00CC2581"/>
    <w:rsid w:val="00CF3ABE"/>
    <w:rsid w:val="00D316B3"/>
    <w:rsid w:val="00D43A2B"/>
    <w:rsid w:val="00D43B24"/>
    <w:rsid w:val="00DD6D95"/>
    <w:rsid w:val="00DE056D"/>
    <w:rsid w:val="00DE2B76"/>
    <w:rsid w:val="00E07A91"/>
    <w:rsid w:val="00E369E1"/>
    <w:rsid w:val="00E53C10"/>
    <w:rsid w:val="00E70BF9"/>
    <w:rsid w:val="00F15BE1"/>
    <w:rsid w:val="00F21985"/>
    <w:rsid w:val="00F2474B"/>
    <w:rsid w:val="00F317EB"/>
    <w:rsid w:val="00F42544"/>
    <w:rsid w:val="00F47F66"/>
    <w:rsid w:val="00F53D91"/>
    <w:rsid w:val="00F54DD9"/>
    <w:rsid w:val="00F9116B"/>
    <w:rsid w:val="00FC3ED9"/>
    <w:rsid w:val="00FE54DE"/>
    <w:rsid w:val="00FF775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8CF045"/>
  <w15:docId w15:val="{AB9F8730-28ED-8D4C-8D8E-A06EBA153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B3CEB"/>
  </w:style>
  <w:style w:type="paragraph" w:styleId="1">
    <w:name w:val="heading 1"/>
    <w:basedOn w:val="a"/>
    <w:next w:val="a"/>
    <w:link w:val="1Char"/>
    <w:uiPriority w:val="9"/>
    <w:qFormat/>
    <w:rsid w:val="00427B38"/>
    <w:pPr>
      <w:bidi/>
      <w:spacing w:after="0" w:line="240" w:lineRule="auto"/>
      <w:jc w:val="right"/>
      <w:outlineLvl w:val="0"/>
    </w:pPr>
    <w:rPr>
      <w:rFonts w:ascii="Simplified Arabic" w:eastAsiaTheme="minorEastAsia" w:hAnsi="Simplified Arabic" w:cs="Simplified Arabic"/>
      <w:b/>
      <w:bCs/>
      <w:sz w:val="32"/>
      <w:szCs w:val="32"/>
    </w:rPr>
  </w:style>
  <w:style w:type="paragraph" w:styleId="2">
    <w:name w:val="heading 2"/>
    <w:basedOn w:val="a"/>
    <w:next w:val="a"/>
    <w:link w:val="2Char"/>
    <w:uiPriority w:val="9"/>
    <w:unhideWhenUsed/>
    <w:qFormat/>
    <w:rsid w:val="00427B38"/>
    <w:pPr>
      <w:keepNext/>
      <w:keepLines/>
      <w:bidi/>
      <w:spacing w:before="40" w:after="0" w:line="240" w:lineRule="auto"/>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Char"/>
    <w:uiPriority w:val="9"/>
    <w:unhideWhenUsed/>
    <w:qFormat/>
    <w:rsid w:val="00427B38"/>
    <w:pPr>
      <w:keepNext/>
      <w:keepLines/>
      <w:bidi/>
      <w:spacing w:before="40" w:after="0" w:line="240" w:lineRule="auto"/>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Char"/>
    <w:uiPriority w:val="9"/>
    <w:semiHidden/>
    <w:unhideWhenUsed/>
    <w:qFormat/>
    <w:rsid w:val="00427B38"/>
    <w:pPr>
      <w:keepNext/>
      <w:keepLines/>
      <w:bidi/>
      <w:spacing w:before="40" w:after="0" w:line="240" w:lineRule="auto"/>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iPriority w:val="9"/>
    <w:semiHidden/>
    <w:unhideWhenUsed/>
    <w:qFormat/>
    <w:rsid w:val="00427B38"/>
    <w:pPr>
      <w:keepNext/>
      <w:keepLines/>
      <w:bidi/>
      <w:spacing w:before="80" w:after="40" w:line="278" w:lineRule="auto"/>
      <w:outlineLvl w:val="4"/>
    </w:pPr>
    <w:rPr>
      <w:rFonts w:ascii="Aptos" w:eastAsia="Times New Roman" w:hAnsi="Aptos" w:cs="Times New Roman"/>
      <w:color w:val="0F4761"/>
      <w:kern w:val="2"/>
      <w:sz w:val="24"/>
      <w:szCs w:val="24"/>
    </w:rPr>
  </w:style>
  <w:style w:type="paragraph" w:styleId="6">
    <w:name w:val="heading 6"/>
    <w:basedOn w:val="a"/>
    <w:next w:val="a"/>
    <w:link w:val="6Char"/>
    <w:uiPriority w:val="9"/>
    <w:semiHidden/>
    <w:unhideWhenUsed/>
    <w:qFormat/>
    <w:rsid w:val="00427B38"/>
    <w:pPr>
      <w:keepNext/>
      <w:keepLines/>
      <w:bidi/>
      <w:spacing w:before="40" w:after="0" w:line="278" w:lineRule="auto"/>
      <w:outlineLvl w:val="5"/>
    </w:pPr>
    <w:rPr>
      <w:rFonts w:ascii="Aptos" w:eastAsia="Times New Roman" w:hAnsi="Aptos" w:cs="Times New Roman"/>
      <w:i/>
      <w:iCs/>
      <w:color w:val="595959"/>
      <w:kern w:val="2"/>
      <w:sz w:val="24"/>
      <w:szCs w:val="24"/>
    </w:rPr>
  </w:style>
  <w:style w:type="paragraph" w:styleId="7">
    <w:name w:val="heading 7"/>
    <w:basedOn w:val="a"/>
    <w:next w:val="a"/>
    <w:link w:val="7Char"/>
    <w:uiPriority w:val="9"/>
    <w:semiHidden/>
    <w:unhideWhenUsed/>
    <w:qFormat/>
    <w:rsid w:val="00427B38"/>
    <w:pPr>
      <w:keepNext/>
      <w:keepLines/>
      <w:bidi/>
      <w:spacing w:before="40" w:after="0" w:line="278" w:lineRule="auto"/>
      <w:outlineLvl w:val="6"/>
    </w:pPr>
    <w:rPr>
      <w:rFonts w:ascii="Aptos" w:eastAsia="Times New Roman" w:hAnsi="Aptos" w:cs="Times New Roman"/>
      <w:color w:val="595959"/>
      <w:kern w:val="2"/>
      <w:sz w:val="24"/>
      <w:szCs w:val="24"/>
    </w:rPr>
  </w:style>
  <w:style w:type="paragraph" w:styleId="8">
    <w:name w:val="heading 8"/>
    <w:basedOn w:val="a"/>
    <w:next w:val="a"/>
    <w:link w:val="8Char"/>
    <w:uiPriority w:val="9"/>
    <w:semiHidden/>
    <w:unhideWhenUsed/>
    <w:qFormat/>
    <w:rsid w:val="00427B38"/>
    <w:pPr>
      <w:keepNext/>
      <w:keepLines/>
      <w:bidi/>
      <w:spacing w:after="0" w:line="278" w:lineRule="auto"/>
      <w:outlineLvl w:val="7"/>
    </w:pPr>
    <w:rPr>
      <w:rFonts w:ascii="Aptos" w:eastAsia="Times New Roman" w:hAnsi="Aptos" w:cs="Times New Roman"/>
      <w:i/>
      <w:iCs/>
      <w:color w:val="272727"/>
      <w:kern w:val="2"/>
      <w:sz w:val="24"/>
      <w:szCs w:val="24"/>
    </w:rPr>
  </w:style>
  <w:style w:type="paragraph" w:styleId="9">
    <w:name w:val="heading 9"/>
    <w:basedOn w:val="a"/>
    <w:next w:val="a"/>
    <w:link w:val="9Char"/>
    <w:uiPriority w:val="9"/>
    <w:semiHidden/>
    <w:unhideWhenUsed/>
    <w:qFormat/>
    <w:rsid w:val="00427B38"/>
    <w:pPr>
      <w:keepNext/>
      <w:keepLines/>
      <w:bidi/>
      <w:spacing w:after="0" w:line="278" w:lineRule="auto"/>
      <w:outlineLvl w:val="8"/>
    </w:pPr>
    <w:rPr>
      <w:rFonts w:ascii="Aptos" w:eastAsia="Times New Roman" w:hAnsi="Aptos" w:cs="Times New Roman"/>
      <w:color w:val="272727"/>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1"/>
    <w:uiPriority w:val="99"/>
    <w:unhideWhenUsed/>
    <w:qFormat/>
    <w:rsid w:val="000D687D"/>
    <w:pPr>
      <w:tabs>
        <w:tab w:val="center" w:pos="4680"/>
        <w:tab w:val="right" w:pos="9360"/>
      </w:tabs>
      <w:spacing w:after="0" w:line="240" w:lineRule="auto"/>
    </w:pPr>
  </w:style>
  <w:style w:type="character" w:customStyle="1" w:styleId="Char1">
    <w:name w:val="رأس الصفحة Char1"/>
    <w:basedOn w:val="a0"/>
    <w:link w:val="a3"/>
    <w:uiPriority w:val="99"/>
    <w:qFormat/>
    <w:rsid w:val="000D687D"/>
  </w:style>
  <w:style w:type="paragraph" w:styleId="a4">
    <w:name w:val="footer"/>
    <w:basedOn w:val="a"/>
    <w:link w:val="Char10"/>
    <w:uiPriority w:val="99"/>
    <w:unhideWhenUsed/>
    <w:qFormat/>
    <w:rsid w:val="000D687D"/>
    <w:pPr>
      <w:tabs>
        <w:tab w:val="center" w:pos="4680"/>
        <w:tab w:val="right" w:pos="9360"/>
      </w:tabs>
      <w:spacing w:after="0" w:line="240" w:lineRule="auto"/>
    </w:pPr>
  </w:style>
  <w:style w:type="character" w:customStyle="1" w:styleId="Char10">
    <w:name w:val="تذييل الصفحة Char1"/>
    <w:basedOn w:val="a0"/>
    <w:link w:val="a4"/>
    <w:uiPriority w:val="99"/>
    <w:qFormat/>
    <w:rsid w:val="000D687D"/>
  </w:style>
  <w:style w:type="table" w:customStyle="1" w:styleId="10">
    <w:name w:val="شبكة جدول1"/>
    <w:basedOn w:val="a1"/>
    <w:next w:val="a5"/>
    <w:rsid w:val="000D687D"/>
    <w:pPr>
      <w:spacing w:after="0" w:line="240" w:lineRule="auto"/>
    </w:pPr>
    <w:rPr>
      <w:rFonts w:eastAsia="Times New Roman"/>
      <w:lang w:val="en-GB"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D68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ls-1storder-head">
    <w:name w:val="Els-1storder-head"/>
    <w:next w:val="a"/>
    <w:rsid w:val="00207F72"/>
    <w:pPr>
      <w:keepNext/>
      <w:numPr>
        <w:numId w:val="1"/>
      </w:numPr>
      <w:pBdr>
        <w:top w:val="single" w:sz="18" w:space="1" w:color="auto"/>
      </w:pBdr>
      <w:suppressAutoHyphens/>
      <w:spacing w:before="230" w:after="230" w:line="230" w:lineRule="exact"/>
    </w:pPr>
    <w:rPr>
      <w:rFonts w:ascii="Times New Roman" w:eastAsia="SimSun" w:hAnsi="Times New Roman" w:cs="Times New Roman"/>
      <w:b/>
      <w:sz w:val="19"/>
      <w:szCs w:val="20"/>
    </w:rPr>
  </w:style>
  <w:style w:type="paragraph" w:customStyle="1" w:styleId="Els-2ndorder-head">
    <w:name w:val="Els-2ndorder-head"/>
    <w:next w:val="a"/>
    <w:rsid w:val="00207F72"/>
    <w:pPr>
      <w:keepNext/>
      <w:numPr>
        <w:ilvl w:val="1"/>
        <w:numId w:val="1"/>
      </w:numPr>
      <w:suppressAutoHyphens/>
      <w:spacing w:before="230" w:after="230" w:line="230" w:lineRule="exact"/>
    </w:pPr>
    <w:rPr>
      <w:rFonts w:ascii="Times New Roman" w:eastAsia="SimSun" w:hAnsi="Times New Roman" w:cs="Times New Roman"/>
      <w:b/>
      <w:i/>
      <w:sz w:val="17"/>
      <w:szCs w:val="20"/>
    </w:rPr>
  </w:style>
  <w:style w:type="paragraph" w:customStyle="1" w:styleId="Els-3rdorder-head">
    <w:name w:val="Els-3rdorder-head"/>
    <w:next w:val="a"/>
    <w:rsid w:val="00207F72"/>
    <w:pPr>
      <w:keepNext/>
      <w:numPr>
        <w:ilvl w:val="2"/>
        <w:numId w:val="1"/>
      </w:numPr>
      <w:suppressAutoHyphens/>
      <w:spacing w:before="240" w:after="0" w:line="240" w:lineRule="exact"/>
    </w:pPr>
    <w:rPr>
      <w:rFonts w:ascii="Times New Roman" w:eastAsia="SimSun" w:hAnsi="Times New Roman" w:cs="Times New Roman"/>
      <w:i/>
      <w:sz w:val="20"/>
      <w:szCs w:val="20"/>
    </w:rPr>
  </w:style>
  <w:style w:type="paragraph" w:customStyle="1" w:styleId="Els-4thorder-head">
    <w:name w:val="Els-4thorder-head"/>
    <w:next w:val="a"/>
    <w:rsid w:val="00207F72"/>
    <w:pPr>
      <w:keepNext/>
      <w:numPr>
        <w:ilvl w:val="3"/>
        <w:numId w:val="1"/>
      </w:numPr>
      <w:suppressAutoHyphens/>
      <w:spacing w:before="240" w:after="0" w:line="240" w:lineRule="exact"/>
    </w:pPr>
    <w:rPr>
      <w:rFonts w:ascii="Times New Roman" w:eastAsia="SimSun" w:hAnsi="Times New Roman" w:cs="Times New Roman"/>
      <w:i/>
      <w:sz w:val="20"/>
      <w:szCs w:val="20"/>
    </w:rPr>
  </w:style>
  <w:style w:type="character" w:styleId="a6">
    <w:name w:val="Placeholder Text"/>
    <w:basedOn w:val="a0"/>
    <w:uiPriority w:val="99"/>
    <w:semiHidden/>
    <w:rsid w:val="00B75951"/>
    <w:rPr>
      <w:color w:val="808080"/>
    </w:rPr>
  </w:style>
  <w:style w:type="paragraph" w:customStyle="1" w:styleId="Els-history-head">
    <w:name w:val="Els-history-head"/>
    <w:basedOn w:val="a"/>
    <w:qFormat/>
    <w:rsid w:val="00D43A2B"/>
    <w:pPr>
      <w:pBdr>
        <w:top w:val="single" w:sz="4" w:space="1" w:color="auto"/>
      </w:pBdr>
      <w:spacing w:after="0" w:line="230" w:lineRule="exact"/>
    </w:pPr>
    <w:rPr>
      <w:rFonts w:ascii="Times New Roman" w:eastAsia="SimSun" w:hAnsi="Times New Roman" w:cs="Times New Roman"/>
      <w:i/>
      <w:noProof/>
      <w:sz w:val="15"/>
      <w:szCs w:val="20"/>
    </w:rPr>
  </w:style>
  <w:style w:type="paragraph" w:styleId="a7">
    <w:name w:val="List Paragraph"/>
    <w:basedOn w:val="a"/>
    <w:uiPriority w:val="34"/>
    <w:qFormat/>
    <w:rsid w:val="00D316B3"/>
    <w:pPr>
      <w:ind w:left="720"/>
      <w:contextualSpacing/>
    </w:pPr>
  </w:style>
  <w:style w:type="paragraph" w:styleId="a8">
    <w:name w:val="Balloon Text"/>
    <w:basedOn w:val="a"/>
    <w:link w:val="Char"/>
    <w:uiPriority w:val="99"/>
    <w:semiHidden/>
    <w:unhideWhenUsed/>
    <w:qFormat/>
    <w:rsid w:val="008901EA"/>
    <w:pPr>
      <w:spacing w:after="0" w:line="240" w:lineRule="auto"/>
    </w:pPr>
    <w:rPr>
      <w:rFonts w:ascii="Tahoma" w:hAnsi="Tahoma" w:cs="Tahoma"/>
      <w:sz w:val="16"/>
      <w:szCs w:val="16"/>
    </w:rPr>
  </w:style>
  <w:style w:type="character" w:customStyle="1" w:styleId="Char">
    <w:name w:val="نص في بالون Char"/>
    <w:basedOn w:val="a0"/>
    <w:link w:val="a8"/>
    <w:uiPriority w:val="99"/>
    <w:semiHidden/>
    <w:qFormat/>
    <w:rsid w:val="008901EA"/>
    <w:rPr>
      <w:rFonts w:ascii="Tahoma" w:hAnsi="Tahoma" w:cs="Tahoma"/>
      <w:sz w:val="16"/>
      <w:szCs w:val="16"/>
    </w:rPr>
  </w:style>
  <w:style w:type="character" w:customStyle="1" w:styleId="1Char">
    <w:name w:val="العنوان 1 Char"/>
    <w:basedOn w:val="a0"/>
    <w:link w:val="1"/>
    <w:uiPriority w:val="9"/>
    <w:qFormat/>
    <w:rsid w:val="00427B38"/>
    <w:rPr>
      <w:rFonts w:ascii="Simplified Arabic" w:eastAsiaTheme="minorEastAsia" w:hAnsi="Simplified Arabic" w:cs="Simplified Arabic"/>
      <w:b/>
      <w:bCs/>
      <w:sz w:val="32"/>
      <w:szCs w:val="32"/>
    </w:rPr>
  </w:style>
  <w:style w:type="character" w:customStyle="1" w:styleId="2Char">
    <w:name w:val="عنوان 2 Char"/>
    <w:basedOn w:val="a0"/>
    <w:link w:val="2"/>
    <w:uiPriority w:val="9"/>
    <w:qFormat/>
    <w:rsid w:val="00427B38"/>
    <w:rPr>
      <w:rFonts w:asciiTheme="majorHAnsi" w:eastAsiaTheme="majorEastAsia" w:hAnsiTheme="majorHAnsi" w:cstheme="majorBidi"/>
      <w:color w:val="2E74B5" w:themeColor="accent1" w:themeShade="BF"/>
      <w:sz w:val="26"/>
      <w:szCs w:val="26"/>
    </w:rPr>
  </w:style>
  <w:style w:type="character" w:customStyle="1" w:styleId="3Char">
    <w:name w:val="عنوان 3 Char"/>
    <w:basedOn w:val="a0"/>
    <w:link w:val="3"/>
    <w:uiPriority w:val="9"/>
    <w:qFormat/>
    <w:rsid w:val="00427B38"/>
    <w:rPr>
      <w:rFonts w:asciiTheme="majorHAnsi" w:eastAsiaTheme="majorEastAsia" w:hAnsiTheme="majorHAnsi" w:cstheme="majorBidi"/>
      <w:color w:val="1F4E79" w:themeColor="accent1" w:themeShade="80"/>
      <w:sz w:val="24"/>
      <w:szCs w:val="24"/>
    </w:rPr>
  </w:style>
  <w:style w:type="character" w:customStyle="1" w:styleId="4Char">
    <w:name w:val="عنوان 4 Char"/>
    <w:basedOn w:val="a0"/>
    <w:link w:val="4"/>
    <w:uiPriority w:val="9"/>
    <w:semiHidden/>
    <w:qFormat/>
    <w:rsid w:val="00427B38"/>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uiPriority w:val="9"/>
    <w:semiHidden/>
    <w:rsid w:val="00427B38"/>
    <w:rPr>
      <w:rFonts w:ascii="Aptos" w:eastAsia="Times New Roman" w:hAnsi="Aptos" w:cs="Times New Roman"/>
      <w:color w:val="0F4761"/>
      <w:kern w:val="2"/>
      <w:sz w:val="24"/>
      <w:szCs w:val="24"/>
    </w:rPr>
  </w:style>
  <w:style w:type="character" w:customStyle="1" w:styleId="6Char">
    <w:name w:val="عنوان 6 Char"/>
    <w:basedOn w:val="a0"/>
    <w:link w:val="6"/>
    <w:uiPriority w:val="9"/>
    <w:semiHidden/>
    <w:rsid w:val="00427B38"/>
    <w:rPr>
      <w:rFonts w:ascii="Aptos" w:eastAsia="Times New Roman" w:hAnsi="Aptos" w:cs="Times New Roman"/>
      <w:i/>
      <w:iCs/>
      <w:color w:val="595959"/>
      <w:kern w:val="2"/>
      <w:sz w:val="24"/>
      <w:szCs w:val="24"/>
    </w:rPr>
  </w:style>
  <w:style w:type="character" w:customStyle="1" w:styleId="7Char">
    <w:name w:val="عنوان 7 Char"/>
    <w:basedOn w:val="a0"/>
    <w:link w:val="7"/>
    <w:uiPriority w:val="9"/>
    <w:semiHidden/>
    <w:rsid w:val="00427B38"/>
    <w:rPr>
      <w:rFonts w:ascii="Aptos" w:eastAsia="Times New Roman" w:hAnsi="Aptos" w:cs="Times New Roman"/>
      <w:color w:val="595959"/>
      <w:kern w:val="2"/>
      <w:sz w:val="24"/>
      <w:szCs w:val="24"/>
    </w:rPr>
  </w:style>
  <w:style w:type="character" w:customStyle="1" w:styleId="8Char">
    <w:name w:val="عنوان 8 Char"/>
    <w:basedOn w:val="a0"/>
    <w:link w:val="8"/>
    <w:uiPriority w:val="9"/>
    <w:semiHidden/>
    <w:rsid w:val="00427B38"/>
    <w:rPr>
      <w:rFonts w:ascii="Aptos" w:eastAsia="Times New Roman" w:hAnsi="Aptos" w:cs="Times New Roman"/>
      <w:i/>
      <w:iCs/>
      <w:color w:val="272727"/>
      <w:kern w:val="2"/>
      <w:sz w:val="24"/>
      <w:szCs w:val="24"/>
    </w:rPr>
  </w:style>
  <w:style w:type="character" w:customStyle="1" w:styleId="9Char">
    <w:name w:val="عنوان 9 Char"/>
    <w:basedOn w:val="a0"/>
    <w:link w:val="9"/>
    <w:uiPriority w:val="9"/>
    <w:semiHidden/>
    <w:rsid w:val="00427B38"/>
    <w:rPr>
      <w:rFonts w:ascii="Aptos" w:eastAsia="Times New Roman" w:hAnsi="Aptos" w:cs="Times New Roman"/>
      <w:color w:val="272727"/>
      <w:kern w:val="2"/>
      <w:sz w:val="24"/>
      <w:szCs w:val="24"/>
    </w:rPr>
  </w:style>
  <w:style w:type="character" w:styleId="a9">
    <w:name w:val="annotation reference"/>
    <w:basedOn w:val="a0"/>
    <w:uiPriority w:val="99"/>
    <w:semiHidden/>
    <w:unhideWhenUsed/>
    <w:qFormat/>
    <w:rsid w:val="00427B38"/>
    <w:rPr>
      <w:sz w:val="16"/>
      <w:szCs w:val="16"/>
    </w:rPr>
  </w:style>
  <w:style w:type="paragraph" w:styleId="aa">
    <w:name w:val="annotation text"/>
    <w:basedOn w:val="a"/>
    <w:link w:val="Char0"/>
    <w:uiPriority w:val="99"/>
    <w:semiHidden/>
    <w:unhideWhenUsed/>
    <w:qFormat/>
    <w:rsid w:val="00427B38"/>
    <w:pPr>
      <w:bidi/>
      <w:spacing w:after="0" w:line="240" w:lineRule="auto"/>
    </w:pPr>
    <w:rPr>
      <w:rFonts w:eastAsiaTheme="minorEastAsia"/>
      <w:sz w:val="20"/>
      <w:szCs w:val="20"/>
    </w:rPr>
  </w:style>
  <w:style w:type="character" w:customStyle="1" w:styleId="Char0">
    <w:name w:val="نص تعليق Char"/>
    <w:basedOn w:val="a0"/>
    <w:link w:val="aa"/>
    <w:uiPriority w:val="99"/>
    <w:semiHidden/>
    <w:qFormat/>
    <w:rsid w:val="00427B38"/>
    <w:rPr>
      <w:rFonts w:eastAsiaTheme="minorEastAsia"/>
      <w:sz w:val="20"/>
      <w:szCs w:val="20"/>
    </w:rPr>
  </w:style>
  <w:style w:type="paragraph" w:styleId="ab">
    <w:name w:val="annotation subject"/>
    <w:basedOn w:val="aa"/>
    <w:next w:val="aa"/>
    <w:link w:val="Char2"/>
    <w:uiPriority w:val="99"/>
    <w:semiHidden/>
    <w:unhideWhenUsed/>
    <w:qFormat/>
    <w:rsid w:val="00427B38"/>
    <w:rPr>
      <w:b/>
      <w:bCs/>
    </w:rPr>
  </w:style>
  <w:style w:type="character" w:customStyle="1" w:styleId="Char2">
    <w:name w:val="موضوع تعليق Char"/>
    <w:basedOn w:val="Char0"/>
    <w:link w:val="ab"/>
    <w:uiPriority w:val="99"/>
    <w:semiHidden/>
    <w:qFormat/>
    <w:rsid w:val="00427B38"/>
    <w:rPr>
      <w:rFonts w:eastAsiaTheme="minorEastAsia"/>
      <w:b/>
      <w:bCs/>
      <w:sz w:val="20"/>
      <w:szCs w:val="20"/>
    </w:rPr>
  </w:style>
  <w:style w:type="character" w:styleId="ac">
    <w:name w:val="Emphasis"/>
    <w:basedOn w:val="a0"/>
    <w:uiPriority w:val="20"/>
    <w:qFormat/>
    <w:rsid w:val="00427B38"/>
    <w:rPr>
      <w:i/>
      <w:iCs/>
    </w:rPr>
  </w:style>
  <w:style w:type="character" w:styleId="ad">
    <w:name w:val="endnote reference"/>
    <w:basedOn w:val="a0"/>
    <w:uiPriority w:val="99"/>
    <w:semiHidden/>
    <w:unhideWhenUsed/>
    <w:qFormat/>
    <w:rsid w:val="00427B38"/>
    <w:rPr>
      <w:vertAlign w:val="superscript"/>
    </w:rPr>
  </w:style>
  <w:style w:type="paragraph" w:styleId="ae">
    <w:name w:val="endnote text"/>
    <w:basedOn w:val="a"/>
    <w:link w:val="Char3"/>
    <w:uiPriority w:val="99"/>
    <w:semiHidden/>
    <w:unhideWhenUsed/>
    <w:qFormat/>
    <w:rsid w:val="00427B38"/>
    <w:pPr>
      <w:bidi/>
      <w:spacing w:after="0" w:line="240" w:lineRule="auto"/>
    </w:pPr>
    <w:rPr>
      <w:rFonts w:eastAsiaTheme="minorEastAsia"/>
      <w:sz w:val="20"/>
      <w:szCs w:val="20"/>
    </w:rPr>
  </w:style>
  <w:style w:type="character" w:customStyle="1" w:styleId="Char3">
    <w:name w:val="نص تعليق ختامي Char"/>
    <w:basedOn w:val="a0"/>
    <w:link w:val="ae"/>
    <w:uiPriority w:val="99"/>
    <w:semiHidden/>
    <w:qFormat/>
    <w:rsid w:val="00427B38"/>
    <w:rPr>
      <w:rFonts w:eastAsiaTheme="minorEastAsia"/>
      <w:sz w:val="20"/>
      <w:szCs w:val="20"/>
    </w:rPr>
  </w:style>
  <w:style w:type="character" w:styleId="af">
    <w:name w:val="FollowedHyperlink"/>
    <w:basedOn w:val="a0"/>
    <w:uiPriority w:val="99"/>
    <w:semiHidden/>
    <w:unhideWhenUsed/>
    <w:qFormat/>
    <w:rsid w:val="00427B38"/>
    <w:rPr>
      <w:color w:val="954F72" w:themeColor="followedHyperlink"/>
      <w:u w:val="single"/>
    </w:rPr>
  </w:style>
  <w:style w:type="character" w:styleId="af0">
    <w:name w:val="footnote reference"/>
    <w:basedOn w:val="a0"/>
    <w:uiPriority w:val="99"/>
    <w:unhideWhenUsed/>
    <w:qFormat/>
    <w:rsid w:val="00427B38"/>
    <w:rPr>
      <w:vertAlign w:val="superscript"/>
    </w:rPr>
  </w:style>
  <w:style w:type="paragraph" w:styleId="af1">
    <w:name w:val="footnote text"/>
    <w:basedOn w:val="a"/>
    <w:link w:val="Char4"/>
    <w:uiPriority w:val="99"/>
    <w:unhideWhenUsed/>
    <w:qFormat/>
    <w:rsid w:val="00427B38"/>
    <w:pPr>
      <w:bidi/>
      <w:spacing w:after="0" w:line="240" w:lineRule="auto"/>
    </w:pPr>
    <w:rPr>
      <w:rFonts w:eastAsiaTheme="minorEastAsia"/>
      <w:sz w:val="20"/>
      <w:szCs w:val="20"/>
    </w:rPr>
  </w:style>
  <w:style w:type="character" w:customStyle="1" w:styleId="Char4">
    <w:name w:val="نص حاشية سفلية Char"/>
    <w:basedOn w:val="a0"/>
    <w:link w:val="af1"/>
    <w:uiPriority w:val="99"/>
    <w:qFormat/>
    <w:rsid w:val="00427B38"/>
    <w:rPr>
      <w:rFonts w:eastAsiaTheme="minorEastAsia"/>
      <w:sz w:val="20"/>
      <w:szCs w:val="20"/>
    </w:rPr>
  </w:style>
  <w:style w:type="character" w:styleId="Hyperlink">
    <w:name w:val="Hyperlink"/>
    <w:basedOn w:val="a0"/>
    <w:uiPriority w:val="99"/>
    <w:unhideWhenUsed/>
    <w:qFormat/>
    <w:rsid w:val="00427B38"/>
    <w:rPr>
      <w:color w:val="0000FF"/>
      <w:u w:val="single"/>
    </w:rPr>
  </w:style>
  <w:style w:type="paragraph" w:styleId="af2">
    <w:name w:val="Normal (Web)"/>
    <w:basedOn w:val="a"/>
    <w:uiPriority w:val="99"/>
    <w:unhideWhenUsed/>
    <w:qFormat/>
    <w:rsid w:val="00427B38"/>
    <w:pPr>
      <w:bidi/>
      <w:spacing w:before="100" w:beforeAutospacing="1" w:after="100" w:afterAutospacing="1" w:line="240" w:lineRule="auto"/>
    </w:pPr>
    <w:rPr>
      <w:rFonts w:ascii="Times New Roman" w:eastAsia="Times New Roman" w:hAnsi="Times New Roman" w:cs="Times New Roman"/>
      <w:sz w:val="24"/>
      <w:szCs w:val="24"/>
    </w:rPr>
  </w:style>
  <w:style w:type="character" w:styleId="af3">
    <w:name w:val="Strong"/>
    <w:basedOn w:val="a0"/>
    <w:uiPriority w:val="22"/>
    <w:qFormat/>
    <w:rsid w:val="00427B38"/>
    <w:rPr>
      <w:b/>
      <w:bCs/>
    </w:rPr>
  </w:style>
  <w:style w:type="paragraph" w:styleId="af4">
    <w:name w:val="No Spacing"/>
    <w:uiPriority w:val="1"/>
    <w:qFormat/>
    <w:rsid w:val="00427B38"/>
    <w:pPr>
      <w:bidi/>
      <w:spacing w:after="0" w:line="240" w:lineRule="auto"/>
    </w:pPr>
    <w:rPr>
      <w:rFonts w:ascii="Simplified Arabic" w:eastAsiaTheme="minorEastAsia" w:hAnsi="Simplified Arabic"/>
      <w:sz w:val="28"/>
    </w:rPr>
  </w:style>
  <w:style w:type="paragraph" w:customStyle="1" w:styleId="Default">
    <w:name w:val="Default"/>
    <w:qFormat/>
    <w:rsid w:val="00427B38"/>
    <w:pPr>
      <w:autoSpaceDE w:val="0"/>
      <w:autoSpaceDN w:val="0"/>
      <w:bidi/>
      <w:adjustRightInd w:val="0"/>
      <w:spacing w:after="0" w:line="240" w:lineRule="auto"/>
    </w:pPr>
    <w:rPr>
      <w:rFonts w:ascii="Century Schoolbook" w:eastAsiaTheme="minorEastAsia" w:hAnsi="Century Schoolbook" w:cs="Century Schoolbook"/>
      <w:color w:val="000000"/>
      <w:sz w:val="24"/>
      <w:szCs w:val="24"/>
    </w:rPr>
  </w:style>
  <w:style w:type="paragraph" w:customStyle="1" w:styleId="CM73">
    <w:name w:val="CM73"/>
    <w:basedOn w:val="Default"/>
    <w:next w:val="Default"/>
    <w:uiPriority w:val="99"/>
    <w:qFormat/>
    <w:rsid w:val="00427B38"/>
    <w:pPr>
      <w:spacing w:line="263" w:lineRule="atLeast"/>
    </w:pPr>
    <w:rPr>
      <w:rFonts w:cstheme="minorBidi"/>
      <w:color w:val="auto"/>
    </w:rPr>
  </w:style>
  <w:style w:type="character" w:customStyle="1" w:styleId="dropcap">
    <w:name w:val="dropcap"/>
    <w:basedOn w:val="a0"/>
    <w:qFormat/>
    <w:rsid w:val="00427B38"/>
  </w:style>
  <w:style w:type="paragraph" w:customStyle="1" w:styleId="CM72">
    <w:name w:val="CM72"/>
    <w:basedOn w:val="Default"/>
    <w:next w:val="Default"/>
    <w:uiPriority w:val="99"/>
    <w:qFormat/>
    <w:rsid w:val="00427B38"/>
    <w:pPr>
      <w:spacing w:line="266" w:lineRule="atLeast"/>
    </w:pPr>
    <w:rPr>
      <w:rFonts w:cstheme="minorBidi"/>
      <w:color w:val="auto"/>
    </w:rPr>
  </w:style>
  <w:style w:type="paragraph" w:customStyle="1" w:styleId="CM115">
    <w:name w:val="CM115"/>
    <w:basedOn w:val="Default"/>
    <w:next w:val="Default"/>
    <w:uiPriority w:val="99"/>
    <w:qFormat/>
    <w:rsid w:val="00427B38"/>
    <w:rPr>
      <w:rFonts w:cstheme="minorBidi"/>
      <w:color w:val="auto"/>
    </w:rPr>
  </w:style>
  <w:style w:type="paragraph" w:customStyle="1" w:styleId="CM123">
    <w:name w:val="CM123"/>
    <w:basedOn w:val="Default"/>
    <w:next w:val="Default"/>
    <w:uiPriority w:val="99"/>
    <w:qFormat/>
    <w:rsid w:val="00427B38"/>
    <w:rPr>
      <w:rFonts w:cstheme="minorBidi"/>
      <w:color w:val="auto"/>
    </w:rPr>
  </w:style>
  <w:style w:type="character" w:customStyle="1" w:styleId="11">
    <w:name w:val="إشارة لم يتم حلها1"/>
    <w:basedOn w:val="a0"/>
    <w:uiPriority w:val="99"/>
    <w:semiHidden/>
    <w:unhideWhenUsed/>
    <w:rsid w:val="00427B38"/>
    <w:rPr>
      <w:color w:val="605E5C"/>
      <w:shd w:val="clear" w:color="auto" w:fill="E1DFDD"/>
    </w:rPr>
  </w:style>
  <w:style w:type="numbering" w:customStyle="1" w:styleId="12">
    <w:name w:val="بلا قائمة1"/>
    <w:next w:val="a2"/>
    <w:uiPriority w:val="99"/>
    <w:semiHidden/>
    <w:unhideWhenUsed/>
    <w:rsid w:val="00427B38"/>
  </w:style>
  <w:style w:type="numbering" w:customStyle="1" w:styleId="20">
    <w:name w:val="بلا قائمة2"/>
    <w:next w:val="a2"/>
    <w:uiPriority w:val="99"/>
    <w:semiHidden/>
    <w:unhideWhenUsed/>
    <w:rsid w:val="00427B38"/>
  </w:style>
  <w:style w:type="character" w:customStyle="1" w:styleId="21">
    <w:name w:val="إشارة لم يتم حلها2"/>
    <w:basedOn w:val="a0"/>
    <w:uiPriority w:val="99"/>
    <w:semiHidden/>
    <w:unhideWhenUsed/>
    <w:rsid w:val="00427B38"/>
    <w:rPr>
      <w:color w:val="605E5C"/>
      <w:shd w:val="clear" w:color="auto" w:fill="E1DFDD"/>
    </w:rPr>
  </w:style>
  <w:style w:type="paragraph" w:styleId="af5">
    <w:name w:val="Title"/>
    <w:basedOn w:val="a"/>
    <w:link w:val="Char5"/>
    <w:uiPriority w:val="10"/>
    <w:qFormat/>
    <w:rsid w:val="00427B38"/>
    <w:pPr>
      <w:widowControl w:val="0"/>
      <w:autoSpaceDE w:val="0"/>
      <w:autoSpaceDN w:val="0"/>
      <w:spacing w:after="0" w:line="240" w:lineRule="auto"/>
      <w:ind w:left="110" w:right="876" w:hanging="5"/>
    </w:pPr>
    <w:rPr>
      <w:rFonts w:ascii="Arial" w:eastAsia="Arial" w:hAnsi="Arial" w:cs="Times New Roman"/>
      <w:b/>
      <w:bCs/>
      <w:sz w:val="28"/>
      <w:szCs w:val="28"/>
    </w:rPr>
  </w:style>
  <w:style w:type="character" w:customStyle="1" w:styleId="Char5">
    <w:name w:val="العنوان Char"/>
    <w:basedOn w:val="a0"/>
    <w:link w:val="af5"/>
    <w:uiPriority w:val="10"/>
    <w:rsid w:val="00427B38"/>
    <w:rPr>
      <w:rFonts w:ascii="Arial" w:eastAsia="Arial" w:hAnsi="Arial" w:cs="Times New Roman"/>
      <w:b/>
      <w:bCs/>
      <w:sz w:val="28"/>
      <w:szCs w:val="28"/>
    </w:rPr>
  </w:style>
  <w:style w:type="paragraph" w:styleId="af6">
    <w:name w:val="Quote"/>
    <w:basedOn w:val="a"/>
    <w:next w:val="a"/>
    <w:link w:val="Char6"/>
    <w:uiPriority w:val="29"/>
    <w:qFormat/>
    <w:rsid w:val="00427B38"/>
    <w:pPr>
      <w:bidi/>
      <w:spacing w:after="200" w:line="276" w:lineRule="auto"/>
    </w:pPr>
    <w:rPr>
      <w:rFonts w:ascii="Calibri" w:eastAsia="Times New Roman" w:hAnsi="Calibri" w:cs="Times New Roman"/>
      <w:i/>
      <w:iCs/>
      <w:color w:val="000000"/>
      <w:sz w:val="20"/>
      <w:szCs w:val="20"/>
    </w:rPr>
  </w:style>
  <w:style w:type="character" w:customStyle="1" w:styleId="Char6">
    <w:name w:val="اقتباس Char"/>
    <w:basedOn w:val="a0"/>
    <w:link w:val="af6"/>
    <w:uiPriority w:val="29"/>
    <w:rsid w:val="00427B38"/>
    <w:rPr>
      <w:rFonts w:ascii="Calibri" w:eastAsia="Times New Roman" w:hAnsi="Calibri" w:cs="Times New Roman"/>
      <w:i/>
      <w:iCs/>
      <w:color w:val="000000"/>
      <w:sz w:val="20"/>
      <w:szCs w:val="20"/>
    </w:rPr>
  </w:style>
  <w:style w:type="paragraph" w:customStyle="1" w:styleId="tablefootnote">
    <w:name w:val="table footnote"/>
    <w:rsid w:val="00427B38"/>
    <w:pPr>
      <w:spacing w:before="60" w:after="30" w:line="240" w:lineRule="auto"/>
      <w:jc w:val="right"/>
    </w:pPr>
    <w:rPr>
      <w:rFonts w:ascii="Times New Roman" w:eastAsia="ヒラギノ角ゴ Pro W3" w:hAnsi="Times New Roman" w:cs="Times New Roman"/>
      <w:color w:val="000000"/>
      <w:sz w:val="12"/>
      <w:szCs w:val="20"/>
    </w:rPr>
  </w:style>
  <w:style w:type="paragraph" w:styleId="af7">
    <w:name w:val="Subtitle"/>
    <w:basedOn w:val="a"/>
    <w:next w:val="a"/>
    <w:link w:val="Char7"/>
    <w:uiPriority w:val="11"/>
    <w:qFormat/>
    <w:rsid w:val="00427B38"/>
    <w:pPr>
      <w:numPr>
        <w:ilvl w:val="1"/>
      </w:numPr>
      <w:bidi/>
      <w:spacing w:line="278" w:lineRule="auto"/>
    </w:pPr>
    <w:rPr>
      <w:rFonts w:ascii="Aptos" w:eastAsia="Times New Roman" w:hAnsi="Aptos" w:cs="Times New Roman"/>
      <w:color w:val="595959"/>
      <w:spacing w:val="15"/>
      <w:kern w:val="2"/>
      <w:sz w:val="28"/>
      <w:szCs w:val="28"/>
    </w:rPr>
  </w:style>
  <w:style w:type="character" w:customStyle="1" w:styleId="Char7">
    <w:name w:val="عنوان فرعي Char"/>
    <w:basedOn w:val="a0"/>
    <w:link w:val="af7"/>
    <w:uiPriority w:val="11"/>
    <w:rsid w:val="00427B38"/>
    <w:rPr>
      <w:rFonts w:ascii="Aptos" w:eastAsia="Times New Roman" w:hAnsi="Aptos" w:cs="Times New Roman"/>
      <w:color w:val="595959"/>
      <w:spacing w:val="15"/>
      <w:kern w:val="2"/>
      <w:sz w:val="28"/>
      <w:szCs w:val="28"/>
    </w:rPr>
  </w:style>
  <w:style w:type="character" w:styleId="af8">
    <w:name w:val="Intense Emphasis"/>
    <w:uiPriority w:val="21"/>
    <w:qFormat/>
    <w:rsid w:val="00427B38"/>
    <w:rPr>
      <w:i/>
      <w:iCs/>
      <w:color w:val="0F4761"/>
    </w:rPr>
  </w:style>
  <w:style w:type="paragraph" w:styleId="af9">
    <w:name w:val="Intense Quote"/>
    <w:basedOn w:val="a"/>
    <w:next w:val="a"/>
    <w:link w:val="Char8"/>
    <w:uiPriority w:val="30"/>
    <w:qFormat/>
    <w:rsid w:val="00427B38"/>
    <w:pPr>
      <w:pBdr>
        <w:top w:val="single" w:sz="4" w:space="10" w:color="0F4761"/>
        <w:bottom w:val="single" w:sz="4" w:space="10" w:color="0F4761"/>
      </w:pBdr>
      <w:bidi/>
      <w:spacing w:before="360" w:after="360" w:line="278" w:lineRule="auto"/>
      <w:ind w:left="864" w:right="864"/>
      <w:jc w:val="center"/>
    </w:pPr>
    <w:rPr>
      <w:rFonts w:ascii="Aptos" w:eastAsia="Times New Roman" w:hAnsi="Aptos" w:cs="Arial"/>
      <w:i/>
      <w:iCs/>
      <w:color w:val="0F4761"/>
      <w:kern w:val="2"/>
      <w:sz w:val="24"/>
      <w:szCs w:val="24"/>
    </w:rPr>
  </w:style>
  <w:style w:type="character" w:customStyle="1" w:styleId="Char8">
    <w:name w:val="اقتباس مكثف Char"/>
    <w:basedOn w:val="a0"/>
    <w:link w:val="af9"/>
    <w:uiPriority w:val="30"/>
    <w:rsid w:val="00427B38"/>
    <w:rPr>
      <w:rFonts w:ascii="Aptos" w:eastAsia="Times New Roman" w:hAnsi="Aptos" w:cs="Arial"/>
      <w:i/>
      <w:iCs/>
      <w:color w:val="0F4761"/>
      <w:kern w:val="2"/>
      <w:sz w:val="24"/>
      <w:szCs w:val="24"/>
    </w:rPr>
  </w:style>
  <w:style w:type="character" w:styleId="afa">
    <w:name w:val="Intense Reference"/>
    <w:uiPriority w:val="32"/>
    <w:qFormat/>
    <w:rsid w:val="00427B38"/>
    <w:rPr>
      <w:b/>
      <w:bCs/>
      <w:smallCaps/>
      <w:color w:val="0F4761"/>
      <w:spacing w:val="5"/>
    </w:rPr>
  </w:style>
  <w:style w:type="character" w:customStyle="1" w:styleId="Char9">
    <w:name w:val="رأس الصفحة Char"/>
    <w:uiPriority w:val="99"/>
    <w:rsid w:val="00427B38"/>
  </w:style>
  <w:style w:type="character" w:customStyle="1" w:styleId="Chara">
    <w:name w:val="تذييل الصفحة Char"/>
    <w:uiPriority w:val="99"/>
    <w:rsid w:val="00427B38"/>
  </w:style>
  <w:style w:type="character" w:styleId="afb">
    <w:name w:val="page number"/>
    <w:basedOn w:val="a0"/>
    <w:uiPriority w:val="99"/>
    <w:semiHidden/>
    <w:unhideWhenUsed/>
    <w:rsid w:val="00427B38"/>
  </w:style>
  <w:style w:type="paragraph" w:customStyle="1" w:styleId="papersubtitle">
    <w:name w:val="paper subtitle"/>
    <w:rsid w:val="00042B5E"/>
    <w:pPr>
      <w:spacing w:after="120" w:line="240" w:lineRule="auto"/>
      <w:jc w:val="center"/>
    </w:pPr>
    <w:rPr>
      <w:rFonts w:ascii="Times New Roman" w:eastAsia="MS Mincho" w:hAnsi="Times New Roman" w:cs="Times New Roman"/>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8.emf"/></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3" Type="http://schemas.openxmlformats.org/officeDocument/2006/relationships/image" Target="media/image10.png"/><Relationship Id="rId2" Type="http://schemas.microsoft.com/office/2007/relationships/hdphoto" Target="media/hdphoto1.wdp"/><Relationship Id="rId1" Type="http://schemas.openxmlformats.org/officeDocument/2006/relationships/image" Target="media/image9.png"/><Relationship Id="rId4" Type="http://schemas.openxmlformats.org/officeDocument/2006/relationships/image" Target="media/image7.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C8F5CF9B234C8C8172A3C2E5012D7F"/>
        <w:category>
          <w:name w:val="عام"/>
          <w:gallery w:val="placeholder"/>
        </w:category>
        <w:types>
          <w:type w:val="bbPlcHdr"/>
        </w:types>
        <w:behaviors>
          <w:behavior w:val="content"/>
        </w:behaviors>
        <w:guid w:val="{088BC6DE-B210-484F-B6AE-4E24F661B0ED}"/>
      </w:docPartPr>
      <w:docPartBody>
        <w:p w:rsidR="00936969" w:rsidRDefault="00E973DE" w:rsidP="00E973DE">
          <w:pPr>
            <w:pStyle w:val="C3C8F5CF9B234C8C8172A3C2E5012D7F"/>
          </w:pPr>
          <w:r>
            <w:rPr>
              <w:caps/>
              <w:color w:val="FFFFFF" w:themeColor="background1"/>
              <w:rtl/>
              <w:lang w:val="ar-SA"/>
            </w:rPr>
            <w:t>[عنوان المستند]</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implified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ヒラギノ角ゴ Pro W3">
    <w:altName w:val="Yu Gothic"/>
    <w:charset w:val="80"/>
    <w:family w:val="swiss"/>
    <w:pitch w:val="variable"/>
    <w:sig w:usb0="E00002FF" w:usb1="7AC7FFFF" w:usb2="00000012" w:usb3="00000000" w:csb0="0002000D" w:csb1="00000000"/>
  </w:font>
  <w:font w:name="MS Mincho">
    <w:panose1 w:val="02020609040205080304"/>
    <w:charset w:val="80"/>
    <w:family w:val="modern"/>
    <w:pitch w:val="fixed"/>
    <w:sig w:usb0="E00002FF" w:usb1="6AC7FDFB" w:usb2="08000012" w:usb3="00000000" w:csb0="0002009F" w:csb1="00000000"/>
  </w:font>
  <w:font w:name="Sakkal Majalla">
    <w:panose1 w:val="02000000000000000000"/>
    <w:charset w:val="00"/>
    <w:family w:val="auto"/>
    <w:pitch w:val="variable"/>
    <w:sig w:usb0="A0002027" w:usb1="80000000" w:usb2="000001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E973DE"/>
    <w:rsid w:val="000132A0"/>
    <w:rsid w:val="000A2763"/>
    <w:rsid w:val="00115B73"/>
    <w:rsid w:val="002C7481"/>
    <w:rsid w:val="00763B0D"/>
    <w:rsid w:val="007D4703"/>
    <w:rsid w:val="00936969"/>
    <w:rsid w:val="00B42AC2"/>
    <w:rsid w:val="00C6127D"/>
    <w:rsid w:val="00CE666A"/>
    <w:rsid w:val="00E973DE"/>
    <w:rsid w:val="00F46CD9"/>
    <w:rsid w:val="00F9116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D4703"/>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3C8F5CF9B234C8C8172A3C2E5012D7F">
    <w:name w:val="C3C8F5CF9B234C8C8172A3C2E5012D7F"/>
    <w:rsid w:val="00E973DE"/>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2F379D7-7F28-4A13-B301-718FF0D207E4}">
  <we:reference id="wa200000013" version="2.0.0.0" store="ar-SA" storeType="OMEX"/>
  <we:alternateReferences>
    <we:reference id="wa200000013" version="2.0.0.0" store="wa20000001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77DEAA-B877-4872-A1F9-135AA10D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4606</Words>
  <Characters>26258</Characters>
  <Application>Microsoft Office Word</Application>
  <DocSecurity>0</DocSecurity>
  <Lines>218</Lines>
  <Paragraphs>61</Paragraphs>
  <ScaleCrop>false</ScaleCrop>
  <HeadingPairs>
    <vt:vector size="2" baseType="variant">
      <vt:variant>
        <vt:lpstr>العنوان</vt:lpstr>
      </vt:variant>
      <vt:variant>
        <vt:i4>1</vt:i4>
      </vt:variant>
    </vt:vector>
  </HeadingPairs>
  <TitlesOfParts>
    <vt:vector size="1" baseType="lpstr">
      <vt:lpstr>Article History : Received 00 December 00 - Received in revised form 00 January 00 - Accepted 00 February 00</vt:lpstr>
    </vt:vector>
  </TitlesOfParts>
  <Company>SACC</Company>
  <LinksUpToDate>false</LinksUpToDate>
  <CharactersWithSpaces>30803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 History : Received 00 December 00 - Received in revised form 00 January 00 - Accepted 00 February 00</dc:title>
  <dc:subject/>
  <dc:creator>Dr. HP</dc:creator>
  <cp:keywords/>
  <dc:description/>
  <cp:lastModifiedBy>Alsalam University</cp:lastModifiedBy>
  <cp:revision>2</cp:revision>
  <cp:lastPrinted>2025-08-02T19:46:00Z</cp:lastPrinted>
  <dcterms:created xsi:type="dcterms:W3CDTF">2026-07-26T09:14:00Z</dcterms:created>
  <dcterms:modified xsi:type="dcterms:W3CDTF">2026-07-26T09:14:00Z</dcterms:modified>
</cp:coreProperties>
</file>