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9B9067" w14:textId="77777777" w:rsidR="009D5A0F" w:rsidRPr="00440037" w:rsidRDefault="009D5A0F" w:rsidP="00440037">
      <w:pPr>
        <w:bidi/>
        <w:jc w:val="center"/>
        <w:rPr>
          <w:rFonts w:asciiTheme="majorBidi" w:hAnsiTheme="majorBidi" w:cstheme="majorBidi"/>
          <w:b/>
          <w:bCs/>
          <w:color w:val="9CC2E5" w:themeColor="accent1" w:themeTint="99"/>
          <w:sz w:val="24"/>
          <w:szCs w:val="24"/>
          <w:u w:val="single"/>
          <w:lang w:bidi="ar-LY"/>
        </w:rPr>
      </w:pPr>
      <w:r w:rsidRPr="00440037">
        <w:rPr>
          <w:rFonts w:asciiTheme="majorBidi" w:hAnsiTheme="majorBidi" w:cstheme="majorBidi" w:hint="cs"/>
          <w:b/>
          <w:bCs/>
          <w:color w:val="9CC2E5" w:themeColor="accent1" w:themeTint="99"/>
          <w:sz w:val="24"/>
          <w:szCs w:val="24"/>
          <w:u w:val="single"/>
          <w:rtl/>
          <w:lang w:bidi="ar-LY"/>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14:paraId="68581895" w14:textId="77777777" w:rsidR="0071714B" w:rsidRDefault="0071714B" w:rsidP="0071714B">
      <w:pPr>
        <w:jc w:val="center"/>
      </w:pPr>
      <w:r>
        <w:rPr>
          <w:b/>
          <w:sz w:val="30"/>
        </w:rPr>
        <w:t>Effect of a Recreational Rehabilitation Program on Selected Double-Support Gait Outcomes and Gait Symmetry in Lower-Limb Prosthesis Users with Lower-Limb Amputation</w:t>
      </w:r>
    </w:p>
    <w:p w14:paraId="16B40BCF" w14:textId="77777777" w:rsidR="0071714B" w:rsidRDefault="0071714B" w:rsidP="0071714B">
      <w:pPr>
        <w:spacing w:after="240"/>
        <w:rPr>
          <w:sz w:val="18"/>
          <w:szCs w:val="18"/>
          <w:rtl/>
        </w:rPr>
      </w:pPr>
      <w:r>
        <w:rPr>
          <w:rFonts w:ascii="Arial" w:hAnsi="Arial" w:cs="Arial"/>
        </w:rPr>
        <w:t>Naser Amein</w:t>
      </w:r>
      <w:proofErr w:type="gramStart"/>
      <w:r w:rsidRPr="00155F73">
        <w:rPr>
          <w:sz w:val="24"/>
          <w:szCs w:val="24"/>
          <w:vertAlign w:val="superscript"/>
        </w:rPr>
        <w:t>1</w:t>
      </w:r>
      <w:r w:rsidRPr="00F42ECA">
        <w:rPr>
          <w:sz w:val="18"/>
          <w:szCs w:val="18"/>
        </w:rPr>
        <w:t xml:space="preserve"> </w:t>
      </w:r>
      <w:r>
        <w:rPr>
          <w:rFonts w:ascii="Arial" w:hAnsi="Arial" w:cs="Arial"/>
        </w:rPr>
        <w:t>;</w:t>
      </w:r>
      <w:proofErr w:type="gramEnd"/>
      <w:r>
        <w:rPr>
          <w:rFonts w:ascii="Arial" w:hAnsi="Arial" w:cs="Arial"/>
        </w:rPr>
        <w:t xml:space="preserve"> </w:t>
      </w:r>
      <w:proofErr w:type="spellStart"/>
      <w:r>
        <w:rPr>
          <w:rFonts w:ascii="Arial" w:hAnsi="Arial" w:cs="Arial"/>
        </w:rPr>
        <w:t>Aboubakr</w:t>
      </w:r>
      <w:proofErr w:type="spellEnd"/>
      <w:r>
        <w:rPr>
          <w:rFonts w:ascii="Arial" w:hAnsi="Arial" w:cs="Arial"/>
        </w:rPr>
        <w:t xml:space="preserve"> A Benshitwan</w:t>
      </w:r>
      <w:proofErr w:type="gramStart"/>
      <w:r w:rsidRPr="00155F73">
        <w:rPr>
          <w:sz w:val="24"/>
          <w:szCs w:val="24"/>
          <w:vertAlign w:val="superscript"/>
        </w:rPr>
        <w:t>2</w:t>
      </w:r>
      <w:r w:rsidRPr="00F42ECA">
        <w:rPr>
          <w:sz w:val="18"/>
          <w:szCs w:val="18"/>
        </w:rPr>
        <w:t xml:space="preserve">  </w:t>
      </w:r>
      <w:r>
        <w:rPr>
          <w:rFonts w:ascii="Arial" w:hAnsi="Arial" w:cs="Arial"/>
        </w:rPr>
        <w:t>;</w:t>
      </w:r>
      <w:proofErr w:type="gramEnd"/>
      <w:r>
        <w:rPr>
          <w:rFonts w:ascii="Arial" w:hAnsi="Arial" w:cs="Arial"/>
        </w:rPr>
        <w:t xml:space="preserve"> Mahmud Buhaiba</w:t>
      </w:r>
      <w:proofErr w:type="gramStart"/>
      <w:r w:rsidRPr="00155F73">
        <w:rPr>
          <w:sz w:val="24"/>
          <w:szCs w:val="24"/>
          <w:vertAlign w:val="superscript"/>
        </w:rPr>
        <w:t>3</w:t>
      </w:r>
      <w:r w:rsidRPr="00F42ECA">
        <w:rPr>
          <w:sz w:val="18"/>
          <w:szCs w:val="18"/>
        </w:rPr>
        <w:t xml:space="preserve"> </w:t>
      </w:r>
      <w:r>
        <w:rPr>
          <w:rFonts w:ascii="Arial" w:hAnsi="Arial" w:cs="Arial"/>
        </w:rPr>
        <w:t>;</w:t>
      </w:r>
      <w:proofErr w:type="gramEnd"/>
      <w:r>
        <w:rPr>
          <w:rFonts w:ascii="Arial" w:hAnsi="Arial" w:cs="Arial"/>
        </w:rPr>
        <w:t xml:space="preserve"> Saad B Magid</w:t>
      </w:r>
      <w:proofErr w:type="gramStart"/>
      <w:r w:rsidRPr="00155F73">
        <w:rPr>
          <w:sz w:val="28"/>
          <w:szCs w:val="28"/>
          <w:vertAlign w:val="superscript"/>
        </w:rPr>
        <w:t>4</w:t>
      </w:r>
      <w:r w:rsidRPr="00F42ECA">
        <w:rPr>
          <w:sz w:val="18"/>
          <w:szCs w:val="18"/>
        </w:rPr>
        <w:t xml:space="preserve">  </w:t>
      </w:r>
      <w:r>
        <w:rPr>
          <w:rFonts w:ascii="Arial" w:hAnsi="Arial" w:cs="Arial"/>
        </w:rPr>
        <w:t>;</w:t>
      </w:r>
      <w:proofErr w:type="gramEnd"/>
      <w:r>
        <w:rPr>
          <w:rFonts w:ascii="Arial" w:hAnsi="Arial" w:cs="Arial"/>
        </w:rPr>
        <w:t xml:space="preserve"> Menan W Abdulhaeed</w:t>
      </w:r>
      <w:r w:rsidRPr="00155F73">
        <w:rPr>
          <w:sz w:val="24"/>
          <w:szCs w:val="24"/>
          <w:vertAlign w:val="superscript"/>
        </w:rPr>
        <w:t>5</w:t>
      </w:r>
      <w:r w:rsidRPr="00F42ECA">
        <w:rPr>
          <w:sz w:val="18"/>
          <w:szCs w:val="18"/>
        </w:rPr>
        <w:t xml:space="preserve"> </w:t>
      </w:r>
    </w:p>
    <w:p w14:paraId="1435CB76" w14:textId="77777777" w:rsidR="0071714B" w:rsidRDefault="0071714B" w:rsidP="0071714B">
      <w:pPr>
        <w:spacing w:after="240"/>
        <w:rPr>
          <w:sz w:val="20"/>
          <w:szCs w:val="20"/>
        </w:rPr>
      </w:pPr>
      <w:r w:rsidRPr="00155F73">
        <w:rPr>
          <w:sz w:val="20"/>
          <w:szCs w:val="20"/>
        </w:rPr>
        <w:t>¹³⁴ College of Medical Technology, Benghazi, Libya</w:t>
      </w:r>
      <w:r w:rsidRPr="00155F73">
        <w:rPr>
          <w:sz w:val="20"/>
          <w:szCs w:val="20"/>
        </w:rPr>
        <w:br/>
        <w:t>² Faculty of Computer Technology and Information, Al-Salam International University</w:t>
      </w:r>
      <w:proofErr w:type="gramStart"/>
      <w:r w:rsidRPr="00155F73">
        <w:rPr>
          <w:sz w:val="20"/>
          <w:szCs w:val="20"/>
        </w:rPr>
        <w:t>, ,</w:t>
      </w:r>
      <w:proofErr w:type="gramEnd"/>
      <w:r w:rsidRPr="00155F73">
        <w:rPr>
          <w:sz w:val="20"/>
          <w:szCs w:val="20"/>
        </w:rPr>
        <w:t xml:space="preserve"> </w:t>
      </w:r>
      <w:proofErr w:type="gramStart"/>
      <w:r w:rsidRPr="00155F73">
        <w:rPr>
          <w:sz w:val="20"/>
          <w:szCs w:val="20"/>
        </w:rPr>
        <w:t>Benghazi,  Libya</w:t>
      </w:r>
      <w:proofErr w:type="gramEnd"/>
      <w:r w:rsidRPr="00155F73">
        <w:rPr>
          <w:sz w:val="20"/>
          <w:szCs w:val="20"/>
        </w:rPr>
        <w:br/>
        <w:t>⁵ Faculty of Physical Therapy, Al-Salam International University</w:t>
      </w:r>
      <w:proofErr w:type="gramStart"/>
      <w:r w:rsidRPr="00155F73">
        <w:rPr>
          <w:sz w:val="20"/>
          <w:szCs w:val="20"/>
        </w:rPr>
        <w:t>, ,</w:t>
      </w:r>
      <w:proofErr w:type="gramEnd"/>
      <w:r w:rsidRPr="00155F73">
        <w:rPr>
          <w:sz w:val="20"/>
          <w:szCs w:val="20"/>
        </w:rPr>
        <w:t xml:space="preserve"> Benghazi, Libya</w:t>
      </w:r>
    </w:p>
    <w:p w14:paraId="576EE32B" w14:textId="5A13F256" w:rsidR="00AB6C11" w:rsidRDefault="00AB6C11" w:rsidP="0071714B">
      <w:pPr>
        <w:spacing w:after="240"/>
        <w:rPr>
          <w:sz w:val="20"/>
          <w:szCs w:val="20"/>
        </w:rPr>
      </w:pPr>
      <w:r>
        <w:rPr>
          <w:noProof/>
          <w:sz w:val="20"/>
          <w:szCs w:val="20"/>
        </w:rPr>
        <mc:AlternateContent>
          <mc:Choice Requires="wps">
            <w:drawing>
              <wp:anchor distT="0" distB="0" distL="114300" distR="114300" simplePos="0" relativeHeight="251661312" behindDoc="0" locked="0" layoutInCell="1" allowOverlap="1" wp14:anchorId="4A44A7FB" wp14:editId="45EFA972">
                <wp:simplePos x="0" y="0"/>
                <wp:positionH relativeFrom="column">
                  <wp:posOffset>-11430</wp:posOffset>
                </wp:positionH>
                <wp:positionV relativeFrom="paragraph">
                  <wp:posOffset>304165</wp:posOffset>
                </wp:positionV>
                <wp:extent cx="6172200" cy="0"/>
                <wp:effectExtent l="0" t="0" r="0" b="0"/>
                <wp:wrapNone/>
                <wp:docPr id="427442040" name="رابط مستقيم 1"/>
                <wp:cNvGraphicFramePr/>
                <a:graphic xmlns:a="http://schemas.openxmlformats.org/drawingml/2006/main">
                  <a:graphicData uri="http://schemas.microsoft.com/office/word/2010/wordprocessingShape">
                    <wps:wsp>
                      <wps:cNvCnPr/>
                      <wps:spPr>
                        <a:xfrm>
                          <a:off x="0" y="0"/>
                          <a:ext cx="61722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6F35183" id="رابط مستقيم 1" o:spid="_x0000_s1026" style="position:absolute;left:0;text-align:left;z-index:251661312;visibility:visible;mso-wrap-style:square;mso-wrap-distance-left:9pt;mso-wrap-distance-top:0;mso-wrap-distance-right:9pt;mso-wrap-distance-bottom:0;mso-position-horizontal:absolute;mso-position-horizontal-relative:text;mso-position-vertical:absolute;mso-position-vertical-relative:text" from="-.9pt,23.95pt" to="485.1pt,2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" strokecolor="#5b9bd5 [3204]" strokeweight=".5pt">
                <v:stroke joinstyle="miter"/>
              </v:line>
            </w:pict>
          </mc:Fallback>
        </mc:AlternateContent>
      </w:r>
    </w:p>
    <w:p w14:paraId="33A5E9FB" w14:textId="77777777" w:rsidR="00AB6C11" w:rsidRPr="00155F73" w:rsidRDefault="00AB6C11" w:rsidP="0071714B">
      <w:pPr>
        <w:spacing w:after="240"/>
        <w:rPr>
          <w:sz w:val="20"/>
          <w:szCs w:val="20"/>
        </w:rPr>
      </w:pPr>
    </w:p>
    <w:p w14:paraId="6ECB1760" w14:textId="77777777" w:rsidR="0071714B" w:rsidRDefault="0071714B" w:rsidP="0071714B">
      <w:pPr>
        <w:pStyle w:val="1"/>
      </w:pPr>
      <w:r>
        <w:t>Abstract</w:t>
      </w:r>
    </w:p>
    <w:p w14:paraId="004CAFD8" w14:textId="77777777" w:rsidR="0071714B" w:rsidRDefault="0071714B" w:rsidP="0071714B">
      <w:pPr>
        <w:jc w:val="both"/>
        <w:rPr>
          <w:rtl/>
        </w:rPr>
      </w:pPr>
      <w:r w:rsidRPr="00E44947">
        <w:t>Lower-limb prosthesis users with lower-limb amputation often experience impaired double-support control and reduced gait symmetry, both of which are closely related to stability and functional walking performance. This study investigated the effect of a recreational rehabilitation program on selected double-support gait outcomes and gait symmetry in four prosthesis users with lower-limb amputation. Muscle activity was assessed using a 16-channel wireless electromyography system (Myon Simply 16 Channels Wireless Device), and gait was analyzed using a three-dimensional motion-analysis system (3D SIMI Reality Motion Systems). To strengthen the statistical interpretation, the study data were further analyzed using exact p values, 95% confidence intervals, multiple effect-size indices, Benjamini-Hochberg, Holm, and Bonferroni corrections, as well as sensitivity analysis, directional consistency testing, and pooled evidence synthesis. The results showed that 42 of 73 pre-post outcomes were initially significant at p &lt; .05; 38 remained significant after global BH-FDR correction, 18 after Holm correction, and 14 after Bonferroni correction, with 22 outcomes retained in the sensitivity analysis. For asymmetry-gap outcomes, 6 of 32 were initially significant, 5 remained after global correction, and only 2 remained after Holm and Bonferroni correction. Overall, the findings indicate broad improvement in direct double-support outcomes, whereas improvement in asymmetry-gap measures was more selective. Although these findings are promising, they should be interpreted cautiously as exploratory because of the very small sample size, the absence of participant-level raw data, and the large number of statistical comparisons</w:t>
      </w:r>
    </w:p>
    <w:p w14:paraId="65788696" w14:textId="16444246" w:rsidR="00AB6C11" w:rsidRDefault="0071714B" w:rsidP="00AB6C11">
      <w:pPr>
        <w:rPr>
          <w:rFonts w:hint="cs"/>
          <w:rtl/>
        </w:rPr>
      </w:pPr>
      <w:r>
        <w:rPr>
          <w:b/>
        </w:rPr>
        <w:t xml:space="preserve">Keywords: recreational rehabilitation program; double-support gait; gait analysis; prosthetic users; lower-limb amputation; gait symmetry; center of mass; kinematic analysis; </w:t>
      </w:r>
    </w:p>
    <w:p w14:paraId="58D62771" w14:textId="77777777" w:rsidR="00AB6C11" w:rsidRDefault="00AB6C11" w:rsidP="00D12E05">
      <w:pPr>
        <w:pStyle w:val="1"/>
        <w:jc w:val="left"/>
        <w:rPr>
          <w:rtl/>
        </w:rPr>
      </w:pPr>
    </w:p>
    <w:p w14:paraId="1716D73A" w14:textId="5BD01583" w:rsidR="0071714B" w:rsidRDefault="0071714B" w:rsidP="00D12E05">
      <w:pPr>
        <w:pStyle w:val="1"/>
        <w:jc w:val="left"/>
        <w:rPr>
          <w:rtl/>
        </w:rPr>
      </w:pPr>
      <w:r>
        <w:rPr>
          <w:rFonts w:hint="cs"/>
          <w:rtl/>
        </w:rPr>
        <w:lastRenderedPageBreak/>
        <w:t>الملخص</w:t>
      </w:r>
    </w:p>
    <w:p w14:paraId="624B83B9" w14:textId="77777777" w:rsidR="0071714B" w:rsidRPr="00FC1FA0" w:rsidRDefault="0071714B" w:rsidP="00D12E05">
      <w:pPr>
        <w:spacing w:line="360" w:lineRule="auto"/>
        <w:jc w:val="right"/>
        <w:rPr>
          <w:rtl/>
        </w:rPr>
      </w:pPr>
      <w:r w:rsidRPr="00FC1FA0">
        <w:rPr>
          <w:rFonts w:asciiTheme="majorBidi" w:hAnsiTheme="majorBidi" w:cstheme="majorBidi"/>
          <w:sz w:val="24"/>
          <w:szCs w:val="24"/>
          <w:rtl/>
        </w:rPr>
        <w:t>غالبًا ما يعاني مستخدمو الأطراف الاصطناعية السفلية الذين خضعوا لبتر في الطرف السفلي من ضعف في التحكم في المشية ذات الدعم المزدوج وانخفاض في تناسق المشية، وكلاهما يرتبط ارتباطًا وثيقًا بالثبات وأداء المشي الوظيفي. هدفت هذه الدراسة إلى بحث تأثير برنامج تأهيل ترفيهي على نتائج مختارة للمشي ذي الدعم المزدوج وتناسق المشية لدى أربعة مستخدمين للأطراف الاصطناعية السفلية خضعوا لبتر في الطرف السفلي. تم تقييم نشاط العضلات باستخدام نظام تخطيط كهربية العضل اللاسلكي ذي 16 قناة</w:t>
      </w:r>
      <w:r w:rsidRPr="00FC1FA0">
        <w:rPr>
          <w:rFonts w:asciiTheme="majorBidi" w:hAnsiTheme="majorBidi" w:cstheme="majorBidi"/>
          <w:sz w:val="24"/>
          <w:szCs w:val="24"/>
        </w:rPr>
        <w:t xml:space="preserve"> (</w:t>
      </w:r>
      <w:r w:rsidRPr="00FC1FA0">
        <w:rPr>
          <w:rFonts w:asciiTheme="majorBidi" w:hAnsiTheme="majorBidi" w:cstheme="majorBidi"/>
          <w:sz w:val="24"/>
          <w:szCs w:val="24"/>
          <w:rtl/>
        </w:rPr>
        <w:t>جهاز</w:t>
      </w:r>
      <w:r w:rsidRPr="00FC1FA0">
        <w:rPr>
          <w:rFonts w:asciiTheme="majorBidi" w:hAnsiTheme="majorBidi" w:cstheme="majorBidi"/>
          <w:sz w:val="24"/>
          <w:szCs w:val="24"/>
        </w:rPr>
        <w:t xml:space="preserve"> Myon Simply 16 Channels </w:t>
      </w:r>
      <w:r w:rsidRPr="00FC1FA0">
        <w:rPr>
          <w:rFonts w:asciiTheme="majorBidi" w:hAnsiTheme="majorBidi" w:cstheme="majorBidi"/>
          <w:sz w:val="24"/>
          <w:szCs w:val="24"/>
          <w:rtl/>
        </w:rPr>
        <w:t>اللاسلكي</w:t>
      </w:r>
      <w:r w:rsidRPr="00FC1FA0">
        <w:rPr>
          <w:rFonts w:asciiTheme="majorBidi" w:hAnsiTheme="majorBidi" w:cstheme="majorBidi"/>
          <w:sz w:val="24"/>
          <w:szCs w:val="24"/>
        </w:rPr>
        <w:t>)</w:t>
      </w:r>
      <w:r w:rsidRPr="00FC1FA0">
        <w:rPr>
          <w:rFonts w:asciiTheme="majorBidi" w:hAnsiTheme="majorBidi" w:cstheme="majorBidi"/>
          <w:sz w:val="24"/>
          <w:szCs w:val="24"/>
          <w:rtl/>
        </w:rPr>
        <w:t>، وتم تحليل المشية باستخدام نظام تحليل الحركة ثلاثي الأبعاد</w:t>
      </w:r>
      <w:r w:rsidRPr="00FC1FA0">
        <w:rPr>
          <w:rFonts w:asciiTheme="majorBidi" w:hAnsiTheme="majorBidi" w:cstheme="majorBidi"/>
          <w:sz w:val="24"/>
          <w:szCs w:val="24"/>
        </w:rPr>
        <w:t xml:space="preserve"> (</w:t>
      </w:r>
      <w:r w:rsidRPr="00FC1FA0">
        <w:rPr>
          <w:rFonts w:asciiTheme="majorBidi" w:hAnsiTheme="majorBidi" w:cstheme="majorBidi"/>
          <w:sz w:val="24"/>
          <w:szCs w:val="24"/>
          <w:rtl/>
        </w:rPr>
        <w:t>أنظمة 3</w:t>
      </w:r>
      <w:r w:rsidRPr="00FC1FA0">
        <w:rPr>
          <w:rFonts w:asciiTheme="majorBidi" w:hAnsiTheme="majorBidi" w:cstheme="majorBidi"/>
          <w:sz w:val="24"/>
          <w:szCs w:val="24"/>
        </w:rPr>
        <w:t xml:space="preserve">D SIMI Reality Motion). </w:t>
      </w:r>
      <w:r w:rsidRPr="00FC1FA0">
        <w:rPr>
          <w:rFonts w:asciiTheme="majorBidi" w:hAnsiTheme="majorBidi" w:cstheme="majorBidi"/>
          <w:sz w:val="24"/>
          <w:szCs w:val="24"/>
          <w:rtl/>
        </w:rPr>
        <w:t>ولتعزيز التفسير الإحصائي، تم تحليل بيانات الدراسة بشكل إضافي باستخدام قيم</w:t>
      </w:r>
      <w:r w:rsidRPr="00FC1FA0">
        <w:rPr>
          <w:rFonts w:asciiTheme="majorBidi" w:hAnsiTheme="majorBidi" w:cstheme="majorBidi"/>
          <w:sz w:val="24"/>
          <w:szCs w:val="24"/>
        </w:rPr>
        <w:t xml:space="preserve"> p </w:t>
      </w:r>
      <w:r w:rsidRPr="00FC1FA0">
        <w:rPr>
          <w:rFonts w:asciiTheme="majorBidi" w:hAnsiTheme="majorBidi" w:cstheme="majorBidi"/>
          <w:sz w:val="24"/>
          <w:szCs w:val="24"/>
          <w:rtl/>
        </w:rPr>
        <w:t>الدقيقة، وفترات الثقة 95%، ومؤشرات حجم التأثير المتعددة، وتصحيحات</w:t>
      </w:r>
      <w:r w:rsidRPr="00FC1FA0">
        <w:rPr>
          <w:rFonts w:asciiTheme="majorBidi" w:hAnsiTheme="majorBidi" w:cstheme="majorBidi"/>
          <w:sz w:val="24"/>
          <w:szCs w:val="24"/>
        </w:rPr>
        <w:t xml:space="preserve"> Benjamini-Hochberg </w:t>
      </w:r>
      <w:r w:rsidRPr="00FC1FA0">
        <w:rPr>
          <w:rFonts w:asciiTheme="majorBidi" w:hAnsiTheme="majorBidi" w:cstheme="majorBidi"/>
          <w:sz w:val="24"/>
          <w:szCs w:val="24"/>
          <w:rtl/>
        </w:rPr>
        <w:t>و</w:t>
      </w:r>
      <w:r w:rsidRPr="00FC1FA0">
        <w:rPr>
          <w:rFonts w:asciiTheme="majorBidi" w:hAnsiTheme="majorBidi" w:cstheme="majorBidi"/>
          <w:sz w:val="24"/>
          <w:szCs w:val="24"/>
        </w:rPr>
        <w:t xml:space="preserve">Holm </w:t>
      </w:r>
      <w:r w:rsidRPr="00FC1FA0">
        <w:rPr>
          <w:rFonts w:asciiTheme="majorBidi" w:hAnsiTheme="majorBidi" w:cstheme="majorBidi"/>
          <w:sz w:val="24"/>
          <w:szCs w:val="24"/>
          <w:rtl/>
        </w:rPr>
        <w:t>و</w:t>
      </w:r>
      <w:r w:rsidRPr="00FC1FA0">
        <w:rPr>
          <w:rFonts w:asciiTheme="majorBidi" w:hAnsiTheme="majorBidi" w:cstheme="majorBidi"/>
          <w:sz w:val="24"/>
          <w:szCs w:val="24"/>
        </w:rPr>
        <w:t>Bonferroni</w:t>
      </w:r>
      <w:r w:rsidRPr="00FC1FA0">
        <w:rPr>
          <w:rFonts w:asciiTheme="majorBidi" w:hAnsiTheme="majorBidi" w:cstheme="majorBidi"/>
          <w:sz w:val="24"/>
          <w:szCs w:val="24"/>
          <w:rtl/>
        </w:rPr>
        <w:t>، بالإضافة إلى تحليل الحساسية، واختبار الاتساق الاتجاهي، وتجميع الأدلة. أظهرت النتائج أن 42 من أصل 73 نتيجة قبل وبعد كانت ذات دلالة إحصائية مبدئية عند مستوى</w:t>
      </w:r>
      <w:r w:rsidRPr="00FC1FA0">
        <w:rPr>
          <w:rFonts w:asciiTheme="majorBidi" w:hAnsiTheme="majorBidi" w:cstheme="majorBidi"/>
          <w:sz w:val="24"/>
          <w:szCs w:val="24"/>
        </w:rPr>
        <w:t xml:space="preserve"> p &lt; 0.05. </w:t>
      </w:r>
      <w:r w:rsidRPr="00FC1FA0">
        <w:rPr>
          <w:rFonts w:asciiTheme="majorBidi" w:hAnsiTheme="majorBidi" w:cstheme="majorBidi"/>
          <w:sz w:val="24"/>
          <w:szCs w:val="24"/>
          <w:rtl/>
        </w:rPr>
        <w:t>بقي 38 مؤشرًا ذا دلالة إحصائية بعد تصحيح</w:t>
      </w:r>
      <w:r w:rsidRPr="00FC1FA0">
        <w:rPr>
          <w:rFonts w:asciiTheme="majorBidi" w:hAnsiTheme="majorBidi" w:cstheme="majorBidi"/>
          <w:sz w:val="24"/>
          <w:szCs w:val="24"/>
        </w:rPr>
        <w:t xml:space="preserve"> BH-FDR </w:t>
      </w:r>
      <w:r w:rsidRPr="00FC1FA0">
        <w:rPr>
          <w:rFonts w:asciiTheme="majorBidi" w:hAnsiTheme="majorBidi" w:cstheme="majorBidi"/>
          <w:sz w:val="24"/>
          <w:szCs w:val="24"/>
          <w:rtl/>
        </w:rPr>
        <w:t xml:space="preserve">العالمي، و18 مؤشرًا بعد تصحيح </w:t>
      </w:r>
      <w:proofErr w:type="spellStart"/>
      <w:r w:rsidRPr="00FC1FA0">
        <w:rPr>
          <w:rFonts w:asciiTheme="majorBidi" w:hAnsiTheme="majorBidi" w:cstheme="majorBidi"/>
          <w:sz w:val="24"/>
          <w:szCs w:val="24"/>
          <w:rtl/>
        </w:rPr>
        <w:t>هولم</w:t>
      </w:r>
      <w:proofErr w:type="spellEnd"/>
      <w:r w:rsidRPr="00FC1FA0">
        <w:rPr>
          <w:rFonts w:asciiTheme="majorBidi" w:hAnsiTheme="majorBidi" w:cstheme="majorBidi"/>
          <w:sz w:val="24"/>
          <w:szCs w:val="24"/>
          <w:rtl/>
        </w:rPr>
        <w:t xml:space="preserve">، و14 مؤشرًا بعد تصحيح </w:t>
      </w:r>
      <w:proofErr w:type="spellStart"/>
      <w:r w:rsidRPr="00FC1FA0">
        <w:rPr>
          <w:rFonts w:asciiTheme="majorBidi" w:hAnsiTheme="majorBidi" w:cstheme="majorBidi"/>
          <w:sz w:val="24"/>
          <w:szCs w:val="24"/>
          <w:rtl/>
        </w:rPr>
        <w:t>بونفيروني</w:t>
      </w:r>
      <w:proofErr w:type="spellEnd"/>
      <w:r w:rsidRPr="00FC1FA0">
        <w:rPr>
          <w:rFonts w:asciiTheme="majorBidi" w:hAnsiTheme="majorBidi" w:cstheme="majorBidi"/>
          <w:sz w:val="24"/>
          <w:szCs w:val="24"/>
          <w:rtl/>
        </w:rPr>
        <w:t xml:space="preserve">، مع الاحتفاظ بـ 22 مؤشرًا في تحليل الحساسية. بالنسبة لمؤشرات فجوة عدم التناظر، كان 6 من أصل 32 مؤشرًا ذا دلالة إحصائية في البداية، وبقي 5 منها ذا دلالة إحصائية بعد التصحيح العالمي، وبقي مؤشران فقط بعد تصحيحي </w:t>
      </w:r>
      <w:proofErr w:type="spellStart"/>
      <w:r w:rsidRPr="00FC1FA0">
        <w:rPr>
          <w:rFonts w:asciiTheme="majorBidi" w:hAnsiTheme="majorBidi" w:cstheme="majorBidi"/>
          <w:sz w:val="24"/>
          <w:szCs w:val="24"/>
          <w:rtl/>
        </w:rPr>
        <w:t>هولم</w:t>
      </w:r>
      <w:proofErr w:type="spellEnd"/>
      <w:r w:rsidRPr="00FC1FA0">
        <w:rPr>
          <w:rFonts w:asciiTheme="majorBidi" w:hAnsiTheme="majorBidi" w:cstheme="majorBidi"/>
          <w:sz w:val="24"/>
          <w:szCs w:val="24"/>
          <w:rtl/>
        </w:rPr>
        <w:t xml:space="preserve"> </w:t>
      </w:r>
      <w:proofErr w:type="spellStart"/>
      <w:r w:rsidRPr="00FC1FA0">
        <w:rPr>
          <w:rFonts w:asciiTheme="majorBidi" w:hAnsiTheme="majorBidi" w:cstheme="majorBidi"/>
          <w:sz w:val="24"/>
          <w:szCs w:val="24"/>
          <w:rtl/>
        </w:rPr>
        <w:t>وبونفيروني</w:t>
      </w:r>
      <w:proofErr w:type="spellEnd"/>
      <w:r w:rsidRPr="00FC1FA0">
        <w:rPr>
          <w:rFonts w:asciiTheme="majorBidi" w:hAnsiTheme="majorBidi" w:cstheme="majorBidi"/>
          <w:sz w:val="24"/>
          <w:szCs w:val="24"/>
          <w:rtl/>
        </w:rPr>
        <w:t>. تشير النتائج عمومًا إلى تحسن واسع النطاق في مؤشرات الدعم المزدوج المباشر، بينما كان التحسن في مقاييس فجوة عدم التناظر أكثر انتقائية. على الرغم من أن هذه النتائج واعدة، إلا أنه ينبغي تفسيرها بحذر باعتبارها استكشافية نظرًا لصغر حجم العينة، وعدم توفر البيانات الأولية على مستوى المشاركين، وكثرة المقارنات الإحصائية</w:t>
      </w:r>
      <w:r w:rsidRPr="00FC1FA0">
        <w:t>.</w:t>
      </w:r>
    </w:p>
    <w:p w14:paraId="06093053" w14:textId="77777777" w:rsidR="0071714B" w:rsidRDefault="0071714B" w:rsidP="00D12E05">
      <w:pPr>
        <w:pStyle w:val="1"/>
      </w:pPr>
      <w:r>
        <w:t>1. Introduction</w:t>
      </w:r>
    </w:p>
    <w:p w14:paraId="298F9D38" w14:textId="77777777" w:rsidR="0071714B" w:rsidRDefault="0071714B" w:rsidP="0071714B">
      <w:pPr>
        <w:spacing w:after="120"/>
        <w:jc w:val="both"/>
      </w:pPr>
      <w:r>
        <w:t>Walking is one of the most sensitive functional indicators of neuromuscular organization, particularly in lower-limb prosthesis users, whose locomotion is not merely a slower version of normal gait but a reorganized movement system involving altered load transfer, step timing, trunk control, center-of-mass displacement, and energetic cost (Perry &amp; Burnfield, 2010; Winter, 2009). Within this system, the double-support phase is especially important because it represents the critical moment of weight transfer from one limb to the other. During this interval, confidence in loading the prosthetic limb, compensatory timing strategies, and the quality of whole-body balance become most visible.</w:t>
      </w:r>
    </w:p>
    <w:p w14:paraId="058F489C" w14:textId="77777777" w:rsidR="0071714B" w:rsidRDefault="0071714B" w:rsidP="0071714B">
      <w:pPr>
        <w:spacing w:after="120"/>
        <w:jc w:val="both"/>
      </w:pPr>
      <w:r>
        <w:t>Previous work has shown that lower-limb amputees commonly present increased inter-limb asymmetry, disturbed double-support timing, greater reliance on the sound limb, and altered trunk, knee, and ankle kinematics during walking (Sagawa et al., 2011; van Velzen et al., 2006). These alterations are not merely descriptive features; they are functionally meaningful because they affect stability, task efficiency, perceived safety, and long-term musculoskeletal loading. For this reason, evaluating the effect of rehabilitation requires more than global walking speed or general clinical observation. It requires a more detailed kinematic framework that can detect subtle changes in timing, displacement, angular velocity, angular acceleration, center-of-mass behavior, and inter-limb symmetry (Tura et al., 2010; Ochoa-Diaz &amp; Bó, 2020).</w:t>
      </w:r>
    </w:p>
    <w:p w14:paraId="64E14549" w14:textId="77777777" w:rsidR="0071714B" w:rsidRDefault="0071714B" w:rsidP="0071714B">
      <w:pPr>
        <w:spacing w:after="120"/>
        <w:jc w:val="both"/>
      </w:pPr>
      <w:r>
        <w:t>Recreational rehabilitation programs are of particular interest because they combine therapeutic load, task engagement, and motivational structure. This combination may be especially relevant for prosthesis users, for whom adherence, confidence, and movement quality are deeply interconnected. Systematic reviews have reported that targeted exercise interventions can improve gait performance and balance in people with lower-limb amputation, although the strength of evidence still depends heavily on study design, sample size, and the choice of outcomes (Wong et al., 2016; Abou et al., 2022; Einfeldt et al., 2022).</w:t>
      </w:r>
    </w:p>
    <w:p w14:paraId="312BFFB3" w14:textId="77777777" w:rsidR="0071714B" w:rsidRPr="00F508C5" w:rsidRDefault="0071714B" w:rsidP="0071714B">
      <w:pPr>
        <w:pStyle w:val="1"/>
      </w:pPr>
      <w:r w:rsidRPr="00F508C5">
        <w:lastRenderedPageBreak/>
        <w:t>2. Significance of the Study</w:t>
      </w:r>
    </w:p>
    <w:p w14:paraId="7FFD4B5E" w14:textId="77777777" w:rsidR="0071714B" w:rsidRDefault="0071714B" w:rsidP="0071714B">
      <w:pPr>
        <w:spacing w:after="120"/>
        <w:jc w:val="both"/>
      </w:pPr>
      <w:r>
        <w:t>The importance of the present study lies in its clinical, biomechanical, and methodological contributions. Clinically, it addresses a population that frequently experiences ongoing restrictions in safe and efficient locomotion. Biomechanically, it focuses on double support as a key phase of weight transfer and postural stability. Methodologically, it goes beyond raw significance counts by using multiple-comparison control, sensitivity analysis, pooled evidence synthesis, and explanatory visualizations to distinguish broad pre–post improvement from more selective inter-limb symmetry change.</w:t>
      </w:r>
    </w:p>
    <w:p w14:paraId="33415115" w14:textId="77777777" w:rsidR="0071714B" w:rsidRPr="00F508C5" w:rsidRDefault="0071714B" w:rsidP="0071714B">
      <w:pPr>
        <w:pStyle w:val="1"/>
      </w:pPr>
      <w:r w:rsidRPr="00F508C5">
        <w:t>3. Research Problem</w:t>
      </w:r>
    </w:p>
    <w:p w14:paraId="6BD056E3" w14:textId="77777777" w:rsidR="0071714B" w:rsidRDefault="0071714B" w:rsidP="0071714B">
      <w:pPr>
        <w:pStyle w:val="af2"/>
        <w:spacing w:after="0" w:afterAutospacing="0" w:line="360" w:lineRule="auto"/>
        <w:jc w:val="both"/>
        <w:rPr>
          <w:rStyle w:val="af3"/>
          <w:rtl/>
        </w:rPr>
      </w:pPr>
      <w:r>
        <w:t xml:space="preserve">Despite the widespread use of rehabilitation programs to improve walking performance in lower-limb prosthesis users, their specific effects on double-support gait mechanics and inter-limb symmetry remain insufficiently understood, particularly in small-sample studies with multiple kinematic outcomes. This issue is clinically important because apparent improvement in overall walking performance does not necessarily reflect better weight transfer, improved postural control, or reduced asymmetry between the affected and sound limbs. In addition, studies with numerous outcome measures are especially vulnerable to inflated false-positive findings when the statistical framework is not sufficiently rigorous. Therefore, the present study addresses the following research question: </w:t>
      </w:r>
      <w:r>
        <w:rPr>
          <w:rStyle w:val="af3"/>
        </w:rPr>
        <w:t>What is the effect of a recreational rehabilitation program on selected double-support gait outcomes and gait symmetry in lower-limb prosthesis users with lower-limb amputation?</w:t>
      </w:r>
    </w:p>
    <w:p w14:paraId="32A22E83" w14:textId="77777777" w:rsidR="0071714B" w:rsidRDefault="0071714B" w:rsidP="0071714B">
      <w:pPr>
        <w:pStyle w:val="af2"/>
        <w:spacing w:line="360" w:lineRule="auto"/>
        <w:jc w:val="both"/>
        <w:rPr>
          <w:rStyle w:val="af3"/>
          <w:rtl/>
        </w:rPr>
      </w:pPr>
    </w:p>
    <w:p w14:paraId="12DF2EBC" w14:textId="77777777" w:rsidR="0071714B" w:rsidRDefault="0071714B" w:rsidP="0071714B">
      <w:pPr>
        <w:pStyle w:val="af2"/>
        <w:spacing w:line="360" w:lineRule="auto"/>
        <w:jc w:val="both"/>
        <w:rPr>
          <w:rStyle w:val="af3"/>
          <w:rtl/>
        </w:rPr>
      </w:pPr>
    </w:p>
    <w:p w14:paraId="17109F4B" w14:textId="77777777" w:rsidR="0071714B" w:rsidRDefault="0071714B" w:rsidP="0071714B">
      <w:pPr>
        <w:pStyle w:val="af2"/>
        <w:spacing w:line="360" w:lineRule="auto"/>
        <w:jc w:val="both"/>
      </w:pPr>
    </w:p>
    <w:p w14:paraId="73BBAE2D" w14:textId="77777777" w:rsidR="0071714B" w:rsidRDefault="0071714B" w:rsidP="0071714B">
      <w:pPr>
        <w:pStyle w:val="af2"/>
        <w:spacing w:before="0" w:beforeAutospacing="0"/>
        <w:rPr>
          <w:rFonts w:cstheme="minorBidi"/>
          <w:sz w:val="22"/>
          <w:szCs w:val="22"/>
          <w:rtl/>
        </w:rPr>
      </w:pPr>
      <w:r w:rsidRPr="000627DE">
        <w:rPr>
          <w:rFonts w:asciiTheme="majorHAnsi" w:eastAsiaTheme="majorEastAsia" w:hAnsiTheme="majorHAnsi" w:cstheme="majorBidi"/>
          <w:b/>
          <w:bCs/>
          <w:sz w:val="28"/>
          <w:szCs w:val="28"/>
        </w:rPr>
        <w:t>4. Aim and Objectives</w:t>
      </w:r>
    </w:p>
    <w:p w14:paraId="0215DB74" w14:textId="77777777" w:rsidR="0071714B" w:rsidRPr="000627DE" w:rsidRDefault="0071714B" w:rsidP="0071714B">
      <w:pPr>
        <w:pStyle w:val="af2"/>
        <w:jc w:val="both"/>
        <w:rPr>
          <w:rFonts w:cstheme="minorBidi"/>
          <w:sz w:val="22"/>
          <w:szCs w:val="22"/>
        </w:rPr>
      </w:pPr>
      <w:r w:rsidRPr="00A11298">
        <w:rPr>
          <w:rFonts w:cstheme="minorBidi"/>
          <w:sz w:val="22"/>
          <w:szCs w:val="22"/>
        </w:rPr>
        <w:t>The primary aim of this study was to evaluate the effect of a recreational rehabilitation program on selected double-support gait outcomes and gait symmetry in lower-limb prosthesis users with lower-limb amputation. Specifically, the study examined pre-post changes in direct double-support variables, explored changes in inter-limb asymmetry-gap measures, identified the most clinically informative outcomes, and tested the robustness of the evidence using multiple-comparison correction, sensitivity analysis, and pooled statistical synthesis.</w:t>
      </w:r>
    </w:p>
    <w:p w14:paraId="1B90A239" w14:textId="77777777" w:rsidR="0071714B" w:rsidRPr="000627DE" w:rsidRDefault="0071714B" w:rsidP="0071714B">
      <w:pPr>
        <w:pStyle w:val="1"/>
        <w:jc w:val="both"/>
      </w:pPr>
      <w:r w:rsidRPr="000627DE">
        <w:t>5. Previous Studies</w:t>
      </w:r>
    </w:p>
    <w:p w14:paraId="16AC1737" w14:textId="77777777" w:rsidR="0071714B" w:rsidRDefault="0071714B" w:rsidP="0071714B">
      <w:pPr>
        <w:spacing w:after="120"/>
        <w:jc w:val="both"/>
      </w:pPr>
      <w:r>
        <w:t xml:space="preserve">Major systematic reviews have established that gait after lower-limb amputation is characterized by a broad set of biomechanical, physiological, and functional adaptations. Sagawa et al. (2011) concluded that variables related to support, symmetry, and biomechanical control are among the most clinically meaningful outcomes </w:t>
      </w:r>
      <w:r>
        <w:lastRenderedPageBreak/>
        <w:t>in amputee gait analysis. Similarly, van Velzen et al. (2006) showed that balance, muscle strength, and general physical capacity are closely linked to recovery of walking ability after lower-limb amputation.</w:t>
      </w:r>
    </w:p>
    <w:p w14:paraId="63034D6E" w14:textId="77777777" w:rsidR="0071714B" w:rsidRDefault="0071714B" w:rsidP="0071714B">
      <w:pPr>
        <w:spacing w:after="120"/>
        <w:jc w:val="both"/>
      </w:pPr>
      <w:r>
        <w:t>Studies specifically targeting asymmetry have further emphasized the importance of double-support and transitional phases. Isakov et al. (1997) showed that double-limb support and step-length asymmetry are sensitive indicators of asymmetrical gait in transtibial amputees. Tura et al. (2010) demonstrated that trunk accelerations provide a practical quantitative window into gait regularity and symmetry, suggesting that clinically meaningful gait analysis should not be limited to distal joints alone. Schaarschmidt et al. (2012) further reported that functional gait asymmetry may persist even when global walking performance appears acceptable, underscoring the need for detailed kinematic analysis.</w:t>
      </w:r>
    </w:p>
    <w:p w14:paraId="10BE547F" w14:textId="77777777" w:rsidR="0071714B" w:rsidRDefault="0071714B" w:rsidP="0071714B">
      <w:pPr>
        <w:spacing w:after="120"/>
        <w:jc w:val="both"/>
      </w:pPr>
      <w:r>
        <w:t>At the functional level, Seth et al. (2022) found that gait asymmetry is associated with poorer performance-based physical function among adults with lower-limb amputation, which gives asymmetry-gap measures direct clinical relevance. From a measurement perspective, Ochoa-Diaz and Bó (2020) highlighted the value of center-of-mass trajectory analysis as an objective approach to gait symmetry, while Maqbool et al. (2024) showed that wearable inertial sensing can extend symmetry evaluation beyond traditional laboratory settings.</w:t>
      </w:r>
    </w:p>
    <w:p w14:paraId="70BC5650" w14:textId="77777777" w:rsidR="0071714B" w:rsidRDefault="0071714B" w:rsidP="0071714B">
      <w:pPr>
        <w:spacing w:after="120"/>
        <w:jc w:val="both"/>
        <w:rPr>
          <w:rtl/>
        </w:rPr>
      </w:pPr>
      <w:r>
        <w:t>Regarding interventions, systematic reviews consistently indicate that exercise-based rehabilitation can improve gait and balance outcomes, although the quality and consistency of evidence vary across protocols and samples (Wong et al., 2016; Abou et al., 2022; Einfeldt et al., 2022). Almeida et al. (2021) also demonstrated that a low-cost and clinically feasible physiotherapy intervention can improve adaptation to a lower-limb prosthesis. The present study extends this literature by integrating direct double-support measures, asymmetry-gap outcomes, and center-of-mass indicators within a single re-analytic framework that applies multiplicity control, sensitivity testing, and pooled evidence methods.</w:t>
      </w:r>
    </w:p>
    <w:p w14:paraId="04483486" w14:textId="77777777" w:rsidR="0071714B" w:rsidRPr="000627DE" w:rsidRDefault="0071714B" w:rsidP="0071714B">
      <w:pPr>
        <w:pStyle w:val="1"/>
        <w:jc w:val="both"/>
      </w:pPr>
      <w:r w:rsidRPr="000627DE">
        <w:rPr>
          <w:rFonts w:hint="cs"/>
          <w:rtl/>
        </w:rPr>
        <w:t>6</w:t>
      </w:r>
      <w:r w:rsidRPr="000627DE">
        <w:t>. Methodology</w:t>
      </w:r>
    </w:p>
    <w:p w14:paraId="6113BD16" w14:textId="77777777" w:rsidR="0071714B" w:rsidRDefault="0071714B" w:rsidP="0071714B">
      <w:pPr>
        <w:pStyle w:val="af2"/>
        <w:spacing w:line="276" w:lineRule="auto"/>
        <w:jc w:val="both"/>
      </w:pPr>
      <w:r>
        <w:t>This study was based on a one-group pre–post design involving four lower-limb prosthesis users with lower-limb amputation. The analytical framework focused on gait performance during the double-support phase, with particular emphasis on temporal, positional, and angular variables measured during both the leading and trailing phases, in addition to center-of-mass outcomes and inter-limb asymmetry-gap measures between the affected and sound limbs.</w:t>
      </w:r>
    </w:p>
    <w:p w14:paraId="4D49EEFA" w14:textId="77777777" w:rsidR="0071714B" w:rsidRDefault="0071714B" w:rsidP="0071714B">
      <w:pPr>
        <w:pStyle w:val="af2"/>
        <w:spacing w:line="276" w:lineRule="auto"/>
        <w:jc w:val="both"/>
      </w:pPr>
      <w:r>
        <w:t>Muscle activity was assessed using a 16-channel wireless electromyography system (EMG; Myon Simply 16 Channels Wireless Device), which enabled the recording of muscle electrical activity during functional performance. Gait analysis was performed using a three-dimensional motion-analysis system (3D SIMI Reality Motion Systems), providing detailed kinematic assessment of walking in lower-limb amputees using prosthetic devices. The integration of EMG and three-dimensional motion analysis strengthened the methodological framework by linking neuromuscular activation with spatiotemporal and kinematic gait characteristics.</w:t>
      </w:r>
    </w:p>
    <w:p w14:paraId="2861BB92" w14:textId="77777777" w:rsidR="0071714B" w:rsidRDefault="0071714B" w:rsidP="0071714B">
      <w:pPr>
        <w:pStyle w:val="af2"/>
        <w:spacing w:line="276" w:lineRule="auto"/>
        <w:jc w:val="both"/>
        <w:rPr>
          <w:rtl/>
        </w:rPr>
      </w:pPr>
      <w:r w:rsidRPr="00380E9F">
        <w:t xml:space="preserve">The expanded statistical methodology involved further analysis of the study data by deriving exact p values from t statistics at </w:t>
      </w:r>
      <w:proofErr w:type="spellStart"/>
      <w:r w:rsidRPr="00380E9F">
        <w:t>df</w:t>
      </w:r>
      <w:proofErr w:type="spellEnd"/>
      <w:r w:rsidRPr="00380E9F">
        <w:t xml:space="preserve"> = 3, estimating 95% confidence intervals, and calculating multiple standardized effect-size indices, including Cohen’s </w:t>
      </w:r>
      <w:proofErr w:type="spellStart"/>
      <w:r w:rsidRPr="00380E9F">
        <w:t>dz</w:t>
      </w:r>
      <w:proofErr w:type="spellEnd"/>
      <w:r w:rsidRPr="00380E9F">
        <w:t xml:space="preserve">, Hedges’ </w:t>
      </w:r>
      <w:proofErr w:type="spellStart"/>
      <w:r w:rsidRPr="00380E9F">
        <w:t>gz</w:t>
      </w:r>
      <w:proofErr w:type="spellEnd"/>
      <w:r w:rsidRPr="00380E9F">
        <w:t>, r, and η². To enhance inferential rigor, Benjamini-Hochberg false-discovery-rate correction was applied at both the within-family and global levels, together with Holm and Bonferroni adjustments.</w:t>
      </w:r>
      <w:r>
        <w:rPr>
          <w:rFonts w:hint="cs"/>
          <w:rtl/>
        </w:rPr>
        <w:t xml:space="preserve"> </w:t>
      </w:r>
      <w:r>
        <w:t xml:space="preserve">To further evaluate the stability of </w:t>
      </w:r>
      <w:r>
        <w:lastRenderedPageBreak/>
        <w:t xml:space="preserve">the findings, a sensitivity analysis was conducted excluding outcomes with </w:t>
      </w:r>
      <w:r>
        <w:rPr>
          <w:rStyle w:val="ac"/>
        </w:rPr>
        <w:t>t</w:t>
      </w:r>
      <w:r>
        <w:t xml:space="preserve"> values greater than 20 or with near-zero variability. In addition, directional consistency testing and Fisher’s combined probability test were used to assess the overall non-random structure of the evidence. Finally, pooled subgroup synthesis was carried out using a random-effects model, with </w:t>
      </w:r>
      <w:r>
        <w:rPr>
          <w:rStyle w:val="ac"/>
        </w:rPr>
        <w:t>I²</w:t>
      </w:r>
      <w:r>
        <w:t xml:space="preserve"> reported as an indicator of heterogeneity across outcomes within each subgroup. </w:t>
      </w:r>
      <w:r w:rsidRPr="00E670BA">
        <w:t>This methodological approach was intended to provide a more robust and balanced interpretation of the study data, while acknowledging the limitations associated with the small sample size and the absence of participant-level raw data.</w:t>
      </w:r>
    </w:p>
    <w:p w14:paraId="4865A635" w14:textId="77777777" w:rsidR="0071714B" w:rsidRPr="00E670BA" w:rsidRDefault="0071714B" w:rsidP="0071714B">
      <w:pPr>
        <w:pStyle w:val="af2"/>
        <w:spacing w:line="276" w:lineRule="auto"/>
        <w:jc w:val="both"/>
        <w:rPr>
          <w:b/>
          <w:bCs/>
        </w:rPr>
      </w:pPr>
      <w:r w:rsidRPr="00E670BA">
        <w:rPr>
          <w:b/>
          <w:bCs/>
        </w:rPr>
        <w:t>7. Results</w:t>
      </w:r>
    </w:p>
    <w:p w14:paraId="7EA614BE" w14:textId="77777777" w:rsidR="0071714B" w:rsidRDefault="0071714B" w:rsidP="0071714B">
      <w:pPr>
        <w:jc w:val="both"/>
        <w:rPr>
          <w:rtl/>
        </w:rPr>
      </w:pPr>
      <w:r w:rsidRPr="00E670BA">
        <w:t>This section presents the general descriptive indicators, the most clinically meaningful outcomes, and the strengthened statistical evidence that helps interpret the effect of the program on double-support variables and gait symmetry.</w:t>
      </w:r>
    </w:p>
    <w:p w14:paraId="4476C6E4" w14:textId="77777777" w:rsidR="0071714B" w:rsidRDefault="0071714B" w:rsidP="0071714B">
      <w:pPr>
        <w:jc w:val="center"/>
      </w:pPr>
      <w:r>
        <w:rPr>
          <w:b/>
        </w:rPr>
        <w:t>Table 1. Key outcomes selected from the original published tables.</w:t>
      </w:r>
    </w:p>
    <w:tbl>
      <w:tblPr>
        <w:tblStyle w:val="a5"/>
        <w:tblW w:w="0" w:type="auto"/>
        <w:jc w:val="center"/>
        <w:tblLook w:val="04A0" w:firstRow="1" w:lastRow="0" w:firstColumn="1" w:lastColumn="0" w:noHBand="0" w:noVBand="1"/>
      </w:tblPr>
      <w:tblGrid>
        <w:gridCol w:w="1960"/>
        <w:gridCol w:w="1932"/>
        <w:gridCol w:w="1906"/>
        <w:gridCol w:w="1936"/>
        <w:gridCol w:w="1895"/>
      </w:tblGrid>
      <w:tr w:rsidR="0071714B" w14:paraId="61C176D5" w14:textId="77777777" w:rsidTr="00840F6F">
        <w:trPr>
          <w:jc w:val="center"/>
        </w:trPr>
        <w:tc>
          <w:tcPr>
            <w:tcW w:w="2016" w:type="dxa"/>
            <w:shd w:val="clear" w:color="auto" w:fill="D9EAF7"/>
            <w:vAlign w:val="center"/>
          </w:tcPr>
          <w:p w14:paraId="1BB8FB10" w14:textId="77777777" w:rsidR="0071714B" w:rsidRDefault="0071714B" w:rsidP="00840F6F">
            <w:pPr>
              <w:jc w:val="center"/>
            </w:pPr>
            <w:r>
              <w:t>Variable</w:t>
            </w:r>
          </w:p>
        </w:tc>
        <w:tc>
          <w:tcPr>
            <w:tcW w:w="2016" w:type="dxa"/>
            <w:shd w:val="clear" w:color="auto" w:fill="D9EAF7"/>
            <w:vAlign w:val="center"/>
          </w:tcPr>
          <w:p w14:paraId="22844D50" w14:textId="77777777" w:rsidR="0071714B" w:rsidRDefault="0071714B" w:rsidP="00840F6F">
            <w:pPr>
              <w:jc w:val="center"/>
            </w:pPr>
            <w:r>
              <w:t>Pre (M ± SD)</w:t>
            </w:r>
          </w:p>
        </w:tc>
        <w:tc>
          <w:tcPr>
            <w:tcW w:w="2016" w:type="dxa"/>
            <w:shd w:val="clear" w:color="auto" w:fill="D9EAF7"/>
            <w:vAlign w:val="center"/>
          </w:tcPr>
          <w:p w14:paraId="4896A7E4" w14:textId="77777777" w:rsidR="0071714B" w:rsidRDefault="0071714B" w:rsidP="00840F6F">
            <w:pPr>
              <w:jc w:val="center"/>
            </w:pPr>
            <w:r>
              <w:t>Post (M ± SD)</w:t>
            </w:r>
          </w:p>
        </w:tc>
        <w:tc>
          <w:tcPr>
            <w:tcW w:w="2016" w:type="dxa"/>
            <w:shd w:val="clear" w:color="auto" w:fill="D9EAF7"/>
            <w:vAlign w:val="center"/>
          </w:tcPr>
          <w:p w14:paraId="56B3A7A6" w14:textId="77777777" w:rsidR="0071714B" w:rsidRDefault="0071714B" w:rsidP="00840F6F">
            <w:pPr>
              <w:jc w:val="center"/>
            </w:pPr>
            <w:r>
              <w:t>Mean Difference</w:t>
            </w:r>
          </w:p>
        </w:tc>
        <w:tc>
          <w:tcPr>
            <w:tcW w:w="2016" w:type="dxa"/>
            <w:shd w:val="clear" w:color="auto" w:fill="D9EAF7"/>
            <w:vAlign w:val="center"/>
          </w:tcPr>
          <w:p w14:paraId="453372A1" w14:textId="77777777" w:rsidR="0071714B" w:rsidRDefault="0071714B" w:rsidP="00840F6F">
            <w:pPr>
              <w:jc w:val="center"/>
            </w:pPr>
            <w:r>
              <w:t>t</w:t>
            </w:r>
          </w:p>
        </w:tc>
      </w:tr>
      <w:tr w:rsidR="0071714B" w14:paraId="29E37A9A" w14:textId="77777777" w:rsidTr="00840F6F">
        <w:trPr>
          <w:jc w:val="center"/>
        </w:trPr>
        <w:tc>
          <w:tcPr>
            <w:tcW w:w="2016" w:type="dxa"/>
            <w:vAlign w:val="center"/>
          </w:tcPr>
          <w:p w14:paraId="55F8BC3E" w14:textId="77777777" w:rsidR="0071714B" w:rsidRDefault="0071714B" w:rsidP="00840F6F">
            <w:pPr>
              <w:jc w:val="center"/>
            </w:pPr>
            <w:r>
              <w:t>Trunk | Double-support time (leading phase)</w:t>
            </w:r>
          </w:p>
        </w:tc>
        <w:tc>
          <w:tcPr>
            <w:tcW w:w="2016" w:type="dxa"/>
            <w:vAlign w:val="center"/>
          </w:tcPr>
          <w:p w14:paraId="425A81D2" w14:textId="77777777" w:rsidR="0071714B" w:rsidRDefault="0071714B" w:rsidP="00840F6F">
            <w:pPr>
              <w:jc w:val="center"/>
            </w:pPr>
            <w:r>
              <w:t>0.960 ± 0.160</w:t>
            </w:r>
          </w:p>
        </w:tc>
        <w:tc>
          <w:tcPr>
            <w:tcW w:w="2016" w:type="dxa"/>
            <w:vAlign w:val="center"/>
          </w:tcPr>
          <w:p w14:paraId="25333353" w14:textId="77777777" w:rsidR="0071714B" w:rsidRDefault="0071714B" w:rsidP="00840F6F">
            <w:pPr>
              <w:jc w:val="center"/>
            </w:pPr>
            <w:r>
              <w:t>0.180 ± 0.090</w:t>
            </w:r>
          </w:p>
        </w:tc>
        <w:tc>
          <w:tcPr>
            <w:tcW w:w="2016" w:type="dxa"/>
            <w:vAlign w:val="center"/>
          </w:tcPr>
          <w:p w14:paraId="3844CF6B" w14:textId="77777777" w:rsidR="0071714B" w:rsidRDefault="0071714B" w:rsidP="00840F6F">
            <w:pPr>
              <w:jc w:val="center"/>
            </w:pPr>
            <w:r>
              <w:t>-0.780</w:t>
            </w:r>
          </w:p>
        </w:tc>
        <w:tc>
          <w:tcPr>
            <w:tcW w:w="2016" w:type="dxa"/>
            <w:vAlign w:val="center"/>
          </w:tcPr>
          <w:p w14:paraId="42D614A9" w14:textId="77777777" w:rsidR="0071714B" w:rsidRDefault="0071714B" w:rsidP="00840F6F">
            <w:pPr>
              <w:jc w:val="center"/>
            </w:pPr>
            <w:r>
              <w:t>6.14</w:t>
            </w:r>
          </w:p>
        </w:tc>
      </w:tr>
      <w:tr w:rsidR="0071714B" w14:paraId="4C57AA7D" w14:textId="77777777" w:rsidTr="00840F6F">
        <w:trPr>
          <w:jc w:val="center"/>
        </w:trPr>
        <w:tc>
          <w:tcPr>
            <w:tcW w:w="2016" w:type="dxa"/>
            <w:vAlign w:val="center"/>
          </w:tcPr>
          <w:p w14:paraId="16E32C4E" w14:textId="77777777" w:rsidR="0071714B" w:rsidRDefault="0071714B" w:rsidP="00840F6F">
            <w:pPr>
              <w:jc w:val="center"/>
            </w:pPr>
            <w:r>
              <w:t>Trunk | Angular velocity (leading phase)</w:t>
            </w:r>
          </w:p>
        </w:tc>
        <w:tc>
          <w:tcPr>
            <w:tcW w:w="2016" w:type="dxa"/>
            <w:vAlign w:val="center"/>
          </w:tcPr>
          <w:p w14:paraId="24277551" w14:textId="77777777" w:rsidR="0071714B" w:rsidRDefault="0071714B" w:rsidP="00840F6F">
            <w:pPr>
              <w:jc w:val="center"/>
            </w:pPr>
            <w:r>
              <w:t>83.46 ± 54.43</w:t>
            </w:r>
          </w:p>
        </w:tc>
        <w:tc>
          <w:tcPr>
            <w:tcW w:w="2016" w:type="dxa"/>
            <w:vAlign w:val="center"/>
          </w:tcPr>
          <w:p w14:paraId="18CC7B1F" w14:textId="77777777" w:rsidR="0071714B" w:rsidRDefault="0071714B" w:rsidP="00840F6F">
            <w:pPr>
              <w:jc w:val="center"/>
            </w:pPr>
            <w:r>
              <w:t>16.24 ± 11.46</w:t>
            </w:r>
          </w:p>
        </w:tc>
        <w:tc>
          <w:tcPr>
            <w:tcW w:w="2016" w:type="dxa"/>
            <w:vAlign w:val="center"/>
          </w:tcPr>
          <w:p w14:paraId="779C0DCE" w14:textId="77777777" w:rsidR="0071714B" w:rsidRDefault="0071714B" w:rsidP="00840F6F">
            <w:pPr>
              <w:jc w:val="center"/>
            </w:pPr>
            <w:r>
              <w:t>-67.22</w:t>
            </w:r>
          </w:p>
        </w:tc>
        <w:tc>
          <w:tcPr>
            <w:tcW w:w="2016" w:type="dxa"/>
            <w:vAlign w:val="center"/>
          </w:tcPr>
          <w:p w14:paraId="38CA84DB" w14:textId="77777777" w:rsidR="0071714B" w:rsidRDefault="0071714B" w:rsidP="00840F6F">
            <w:pPr>
              <w:jc w:val="center"/>
            </w:pPr>
            <w:r>
              <w:t>3.13</w:t>
            </w:r>
          </w:p>
        </w:tc>
      </w:tr>
      <w:tr w:rsidR="0071714B" w14:paraId="11E19012" w14:textId="77777777" w:rsidTr="00840F6F">
        <w:trPr>
          <w:jc w:val="center"/>
        </w:trPr>
        <w:tc>
          <w:tcPr>
            <w:tcW w:w="2016" w:type="dxa"/>
            <w:vAlign w:val="center"/>
          </w:tcPr>
          <w:p w14:paraId="5A344A96" w14:textId="77777777" w:rsidR="0071714B" w:rsidRDefault="0071714B" w:rsidP="00840F6F">
            <w:pPr>
              <w:jc w:val="center"/>
            </w:pPr>
            <w:r>
              <w:t>Affected knee | Horizontal displacement (leading phase)</w:t>
            </w:r>
          </w:p>
        </w:tc>
        <w:tc>
          <w:tcPr>
            <w:tcW w:w="2016" w:type="dxa"/>
            <w:vAlign w:val="center"/>
          </w:tcPr>
          <w:p w14:paraId="231E39C8" w14:textId="77777777" w:rsidR="0071714B" w:rsidRDefault="0071714B" w:rsidP="00840F6F">
            <w:pPr>
              <w:jc w:val="center"/>
            </w:pPr>
            <w:r>
              <w:t>37.22 ± 22.35</w:t>
            </w:r>
          </w:p>
        </w:tc>
        <w:tc>
          <w:tcPr>
            <w:tcW w:w="2016" w:type="dxa"/>
            <w:vAlign w:val="center"/>
          </w:tcPr>
          <w:p w14:paraId="599B669A" w14:textId="77777777" w:rsidR="0071714B" w:rsidRDefault="0071714B" w:rsidP="00840F6F">
            <w:pPr>
              <w:jc w:val="center"/>
            </w:pPr>
            <w:r>
              <w:t>0.480 ± 0.450</w:t>
            </w:r>
          </w:p>
        </w:tc>
        <w:tc>
          <w:tcPr>
            <w:tcW w:w="2016" w:type="dxa"/>
            <w:vAlign w:val="center"/>
          </w:tcPr>
          <w:p w14:paraId="39BBFD95" w14:textId="77777777" w:rsidR="0071714B" w:rsidRDefault="0071714B" w:rsidP="00840F6F">
            <w:pPr>
              <w:jc w:val="center"/>
            </w:pPr>
            <w:r>
              <w:t>-36.74</w:t>
            </w:r>
          </w:p>
        </w:tc>
        <w:tc>
          <w:tcPr>
            <w:tcW w:w="2016" w:type="dxa"/>
            <w:vAlign w:val="center"/>
          </w:tcPr>
          <w:p w14:paraId="7BFC1C96" w14:textId="77777777" w:rsidR="0071714B" w:rsidRDefault="0071714B" w:rsidP="00840F6F">
            <w:pPr>
              <w:jc w:val="center"/>
            </w:pPr>
            <w:r>
              <w:t>3.22</w:t>
            </w:r>
          </w:p>
        </w:tc>
      </w:tr>
      <w:tr w:rsidR="0071714B" w14:paraId="4AB283E3" w14:textId="77777777" w:rsidTr="00840F6F">
        <w:trPr>
          <w:jc w:val="center"/>
        </w:trPr>
        <w:tc>
          <w:tcPr>
            <w:tcW w:w="2016" w:type="dxa"/>
            <w:vAlign w:val="center"/>
          </w:tcPr>
          <w:p w14:paraId="1560B378" w14:textId="77777777" w:rsidR="0071714B" w:rsidRDefault="0071714B" w:rsidP="00840F6F">
            <w:pPr>
              <w:jc w:val="center"/>
            </w:pPr>
            <w:r>
              <w:t>Affected knee | Angular velocity (leading phase)</w:t>
            </w:r>
          </w:p>
        </w:tc>
        <w:tc>
          <w:tcPr>
            <w:tcW w:w="2016" w:type="dxa"/>
            <w:vAlign w:val="center"/>
          </w:tcPr>
          <w:p w14:paraId="39D1CD86" w14:textId="77777777" w:rsidR="0071714B" w:rsidRDefault="0071714B" w:rsidP="00840F6F">
            <w:pPr>
              <w:jc w:val="center"/>
            </w:pPr>
            <w:r>
              <w:t>394.61 ± 95.87</w:t>
            </w:r>
          </w:p>
        </w:tc>
        <w:tc>
          <w:tcPr>
            <w:tcW w:w="2016" w:type="dxa"/>
            <w:vAlign w:val="center"/>
          </w:tcPr>
          <w:p w14:paraId="40C659BB" w14:textId="77777777" w:rsidR="0071714B" w:rsidRDefault="0071714B" w:rsidP="00840F6F">
            <w:pPr>
              <w:jc w:val="center"/>
            </w:pPr>
            <w:r>
              <w:t>2.48 ± 1.34</w:t>
            </w:r>
          </w:p>
        </w:tc>
        <w:tc>
          <w:tcPr>
            <w:tcW w:w="2016" w:type="dxa"/>
            <w:vAlign w:val="center"/>
          </w:tcPr>
          <w:p w14:paraId="146D42CA" w14:textId="77777777" w:rsidR="0071714B" w:rsidRDefault="0071714B" w:rsidP="00840F6F">
            <w:pPr>
              <w:jc w:val="center"/>
            </w:pPr>
            <w:r>
              <w:t>-392.13</w:t>
            </w:r>
          </w:p>
        </w:tc>
        <w:tc>
          <w:tcPr>
            <w:tcW w:w="2016" w:type="dxa"/>
            <w:vAlign w:val="center"/>
          </w:tcPr>
          <w:p w14:paraId="3EA7E96B" w14:textId="77777777" w:rsidR="0071714B" w:rsidRDefault="0071714B" w:rsidP="00840F6F">
            <w:pPr>
              <w:jc w:val="center"/>
            </w:pPr>
            <w:r>
              <w:t>8.07</w:t>
            </w:r>
          </w:p>
        </w:tc>
      </w:tr>
      <w:tr w:rsidR="0071714B" w14:paraId="09F1ECA5" w14:textId="77777777" w:rsidTr="00840F6F">
        <w:trPr>
          <w:jc w:val="center"/>
        </w:trPr>
        <w:tc>
          <w:tcPr>
            <w:tcW w:w="2016" w:type="dxa"/>
            <w:vAlign w:val="center"/>
          </w:tcPr>
          <w:p w14:paraId="3D7A8963" w14:textId="77777777" w:rsidR="0071714B" w:rsidRDefault="0071714B" w:rsidP="00840F6F">
            <w:pPr>
              <w:jc w:val="center"/>
            </w:pPr>
            <w:r>
              <w:t>Affected knee | Angular acceleration (leading phase)</w:t>
            </w:r>
          </w:p>
        </w:tc>
        <w:tc>
          <w:tcPr>
            <w:tcW w:w="2016" w:type="dxa"/>
            <w:vAlign w:val="center"/>
          </w:tcPr>
          <w:p w14:paraId="20F5605A" w14:textId="77777777" w:rsidR="0071714B" w:rsidRDefault="0071714B" w:rsidP="00840F6F">
            <w:pPr>
              <w:jc w:val="center"/>
            </w:pPr>
            <w:r>
              <w:t>10,150.94 ± 2,099.08</w:t>
            </w:r>
          </w:p>
        </w:tc>
        <w:tc>
          <w:tcPr>
            <w:tcW w:w="2016" w:type="dxa"/>
            <w:vAlign w:val="center"/>
          </w:tcPr>
          <w:p w14:paraId="007E17D1" w14:textId="77777777" w:rsidR="0071714B" w:rsidRDefault="0071714B" w:rsidP="00840F6F">
            <w:pPr>
              <w:jc w:val="center"/>
            </w:pPr>
            <w:r>
              <w:t>428.59 ± 351.85</w:t>
            </w:r>
          </w:p>
        </w:tc>
        <w:tc>
          <w:tcPr>
            <w:tcW w:w="2016" w:type="dxa"/>
            <w:vAlign w:val="center"/>
          </w:tcPr>
          <w:p w14:paraId="00646C78" w14:textId="77777777" w:rsidR="0071714B" w:rsidRDefault="0071714B" w:rsidP="00840F6F">
            <w:pPr>
              <w:jc w:val="center"/>
            </w:pPr>
            <w:r>
              <w:t>-9,722.35</w:t>
            </w:r>
          </w:p>
        </w:tc>
        <w:tc>
          <w:tcPr>
            <w:tcW w:w="2016" w:type="dxa"/>
            <w:vAlign w:val="center"/>
          </w:tcPr>
          <w:p w14:paraId="27A1EC45" w14:textId="77777777" w:rsidR="0071714B" w:rsidRDefault="0071714B" w:rsidP="00840F6F">
            <w:pPr>
              <w:jc w:val="center"/>
            </w:pPr>
            <w:r>
              <w:t>7.93</w:t>
            </w:r>
          </w:p>
        </w:tc>
      </w:tr>
      <w:tr w:rsidR="0071714B" w14:paraId="0B6DDDFC" w14:textId="77777777" w:rsidTr="00840F6F">
        <w:trPr>
          <w:jc w:val="center"/>
        </w:trPr>
        <w:tc>
          <w:tcPr>
            <w:tcW w:w="2016" w:type="dxa"/>
            <w:vAlign w:val="center"/>
          </w:tcPr>
          <w:p w14:paraId="21102E4A" w14:textId="77777777" w:rsidR="0071714B" w:rsidRDefault="0071714B" w:rsidP="00840F6F">
            <w:pPr>
              <w:jc w:val="center"/>
            </w:pPr>
            <w:r>
              <w:t>Affected ankle | Angular velocity (trailing phase)</w:t>
            </w:r>
          </w:p>
        </w:tc>
        <w:tc>
          <w:tcPr>
            <w:tcW w:w="2016" w:type="dxa"/>
            <w:vAlign w:val="center"/>
          </w:tcPr>
          <w:p w14:paraId="04CC9724" w14:textId="77777777" w:rsidR="0071714B" w:rsidRDefault="0071714B" w:rsidP="00840F6F">
            <w:pPr>
              <w:jc w:val="center"/>
            </w:pPr>
            <w:r>
              <w:t>163.64 ± 2.04</w:t>
            </w:r>
          </w:p>
        </w:tc>
        <w:tc>
          <w:tcPr>
            <w:tcW w:w="2016" w:type="dxa"/>
            <w:vAlign w:val="center"/>
          </w:tcPr>
          <w:p w14:paraId="37CEF3C8" w14:textId="77777777" w:rsidR="0071714B" w:rsidRDefault="0071714B" w:rsidP="00840F6F">
            <w:pPr>
              <w:jc w:val="center"/>
            </w:pPr>
            <w:r>
              <w:t>24.41 ± 9.24</w:t>
            </w:r>
          </w:p>
        </w:tc>
        <w:tc>
          <w:tcPr>
            <w:tcW w:w="2016" w:type="dxa"/>
            <w:vAlign w:val="center"/>
          </w:tcPr>
          <w:p w14:paraId="196AFFDF" w14:textId="77777777" w:rsidR="0071714B" w:rsidRDefault="0071714B" w:rsidP="00840F6F">
            <w:pPr>
              <w:jc w:val="center"/>
            </w:pPr>
            <w:r>
              <w:t>-139.23</w:t>
            </w:r>
          </w:p>
        </w:tc>
        <w:tc>
          <w:tcPr>
            <w:tcW w:w="2016" w:type="dxa"/>
            <w:vAlign w:val="center"/>
          </w:tcPr>
          <w:p w14:paraId="38E6DB0A" w14:textId="77777777" w:rsidR="0071714B" w:rsidRDefault="0071714B" w:rsidP="00840F6F">
            <w:pPr>
              <w:jc w:val="center"/>
            </w:pPr>
            <w:r>
              <w:t>24.69</w:t>
            </w:r>
          </w:p>
        </w:tc>
      </w:tr>
      <w:tr w:rsidR="0071714B" w14:paraId="79F4F66F" w14:textId="77777777" w:rsidTr="00840F6F">
        <w:trPr>
          <w:jc w:val="center"/>
        </w:trPr>
        <w:tc>
          <w:tcPr>
            <w:tcW w:w="2016" w:type="dxa"/>
            <w:vAlign w:val="center"/>
          </w:tcPr>
          <w:p w14:paraId="10E9CDBD" w14:textId="77777777" w:rsidR="0071714B" w:rsidRDefault="0071714B" w:rsidP="00840F6F">
            <w:pPr>
              <w:jc w:val="center"/>
            </w:pPr>
            <w:r>
              <w:t xml:space="preserve">Vertical </w:t>
            </w:r>
            <w:proofErr w:type="spellStart"/>
            <w:r>
              <w:t>CoM</w:t>
            </w:r>
            <w:proofErr w:type="spellEnd"/>
            <w:r>
              <w:t xml:space="preserve"> displacement | Time</w:t>
            </w:r>
          </w:p>
        </w:tc>
        <w:tc>
          <w:tcPr>
            <w:tcW w:w="2016" w:type="dxa"/>
            <w:vAlign w:val="center"/>
          </w:tcPr>
          <w:p w14:paraId="7486802F" w14:textId="77777777" w:rsidR="0071714B" w:rsidRDefault="0071714B" w:rsidP="00840F6F">
            <w:pPr>
              <w:jc w:val="center"/>
            </w:pPr>
            <w:r>
              <w:t>0.540 ± 0.090</w:t>
            </w:r>
          </w:p>
        </w:tc>
        <w:tc>
          <w:tcPr>
            <w:tcW w:w="2016" w:type="dxa"/>
            <w:vAlign w:val="center"/>
          </w:tcPr>
          <w:p w14:paraId="66F07193" w14:textId="77777777" w:rsidR="0071714B" w:rsidRDefault="0071714B" w:rsidP="00840F6F">
            <w:pPr>
              <w:jc w:val="center"/>
            </w:pPr>
            <w:r>
              <w:t>0.410 ± 0.110</w:t>
            </w:r>
          </w:p>
        </w:tc>
        <w:tc>
          <w:tcPr>
            <w:tcW w:w="2016" w:type="dxa"/>
            <w:vAlign w:val="center"/>
          </w:tcPr>
          <w:p w14:paraId="314200D3" w14:textId="77777777" w:rsidR="0071714B" w:rsidRDefault="0071714B" w:rsidP="00840F6F">
            <w:pPr>
              <w:jc w:val="center"/>
            </w:pPr>
            <w:r>
              <w:t>-0.140</w:t>
            </w:r>
          </w:p>
        </w:tc>
        <w:tc>
          <w:tcPr>
            <w:tcW w:w="2016" w:type="dxa"/>
            <w:vAlign w:val="center"/>
          </w:tcPr>
          <w:p w14:paraId="4C26721F" w14:textId="77777777" w:rsidR="0071714B" w:rsidRDefault="0071714B" w:rsidP="00840F6F">
            <w:pPr>
              <w:jc w:val="center"/>
            </w:pPr>
            <w:r>
              <w:t>15.59</w:t>
            </w:r>
          </w:p>
        </w:tc>
      </w:tr>
      <w:tr w:rsidR="0071714B" w14:paraId="7ACBC376" w14:textId="77777777" w:rsidTr="00840F6F">
        <w:trPr>
          <w:jc w:val="center"/>
        </w:trPr>
        <w:tc>
          <w:tcPr>
            <w:tcW w:w="2016" w:type="dxa"/>
            <w:vAlign w:val="center"/>
          </w:tcPr>
          <w:p w14:paraId="459F0519" w14:textId="77777777" w:rsidR="0071714B" w:rsidRDefault="0071714B" w:rsidP="00840F6F">
            <w:pPr>
              <w:jc w:val="center"/>
            </w:pPr>
            <w:r>
              <w:t>Ankle inter-limb gap | Horizontal displacement (leading phase)</w:t>
            </w:r>
          </w:p>
        </w:tc>
        <w:tc>
          <w:tcPr>
            <w:tcW w:w="2016" w:type="dxa"/>
            <w:vAlign w:val="center"/>
          </w:tcPr>
          <w:p w14:paraId="009364D5" w14:textId="77777777" w:rsidR="0071714B" w:rsidRDefault="0071714B" w:rsidP="00840F6F">
            <w:pPr>
              <w:jc w:val="center"/>
            </w:pPr>
            <w:r>
              <w:t>14.50 ± 0.660</w:t>
            </w:r>
          </w:p>
        </w:tc>
        <w:tc>
          <w:tcPr>
            <w:tcW w:w="2016" w:type="dxa"/>
            <w:vAlign w:val="center"/>
          </w:tcPr>
          <w:p w14:paraId="318FDD34" w14:textId="77777777" w:rsidR="0071714B" w:rsidRDefault="0071714B" w:rsidP="00840F6F">
            <w:pPr>
              <w:jc w:val="center"/>
            </w:pPr>
            <w:r>
              <w:t>0.160 ± 0.110</w:t>
            </w:r>
          </w:p>
        </w:tc>
        <w:tc>
          <w:tcPr>
            <w:tcW w:w="2016" w:type="dxa"/>
            <w:vAlign w:val="center"/>
          </w:tcPr>
          <w:p w14:paraId="7725D29B" w14:textId="77777777" w:rsidR="0071714B" w:rsidRDefault="0071714B" w:rsidP="00840F6F">
            <w:pPr>
              <w:jc w:val="center"/>
            </w:pPr>
            <w:r>
              <w:t>-14.34</w:t>
            </w:r>
          </w:p>
        </w:tc>
        <w:tc>
          <w:tcPr>
            <w:tcW w:w="2016" w:type="dxa"/>
            <w:vAlign w:val="center"/>
          </w:tcPr>
          <w:p w14:paraId="010D6AED" w14:textId="77777777" w:rsidR="0071714B" w:rsidRDefault="0071714B" w:rsidP="00840F6F">
            <w:pPr>
              <w:jc w:val="center"/>
            </w:pPr>
            <w:r>
              <w:t>37.19</w:t>
            </w:r>
          </w:p>
        </w:tc>
      </w:tr>
    </w:tbl>
    <w:p w14:paraId="76167D00" w14:textId="77777777" w:rsidR="0071714B" w:rsidRDefault="0071714B" w:rsidP="0071714B"/>
    <w:p w14:paraId="57C66D66" w14:textId="77777777" w:rsidR="0071714B" w:rsidRDefault="0071714B" w:rsidP="0071714B">
      <w:pPr>
        <w:jc w:val="center"/>
      </w:pPr>
      <w:r>
        <w:rPr>
          <w:b/>
        </w:rPr>
        <w:t>Table 2. Strengthened inferential analysis for the selected key outcomes.</w:t>
      </w:r>
    </w:p>
    <w:tbl>
      <w:tblPr>
        <w:tblStyle w:val="a5"/>
        <w:tblW w:w="0" w:type="auto"/>
        <w:jc w:val="center"/>
        <w:tblLook w:val="04A0" w:firstRow="1" w:lastRow="0" w:firstColumn="1" w:lastColumn="0" w:noHBand="0" w:noVBand="1"/>
      </w:tblPr>
      <w:tblGrid>
        <w:gridCol w:w="1651"/>
        <w:gridCol w:w="1571"/>
        <w:gridCol w:w="1604"/>
        <w:gridCol w:w="1623"/>
        <w:gridCol w:w="1597"/>
        <w:gridCol w:w="1583"/>
      </w:tblGrid>
      <w:tr w:rsidR="0071714B" w14:paraId="29721D42" w14:textId="77777777" w:rsidTr="00840F6F">
        <w:trPr>
          <w:jc w:val="center"/>
        </w:trPr>
        <w:tc>
          <w:tcPr>
            <w:tcW w:w="1680" w:type="dxa"/>
            <w:shd w:val="clear" w:color="auto" w:fill="D9EAF7"/>
            <w:vAlign w:val="center"/>
          </w:tcPr>
          <w:p w14:paraId="725FBA64" w14:textId="77777777" w:rsidR="0071714B" w:rsidRDefault="0071714B" w:rsidP="00840F6F">
            <w:pPr>
              <w:spacing w:line="276" w:lineRule="auto"/>
              <w:jc w:val="center"/>
            </w:pPr>
            <w:r>
              <w:t>Outcome</w:t>
            </w:r>
          </w:p>
        </w:tc>
        <w:tc>
          <w:tcPr>
            <w:tcW w:w="1680" w:type="dxa"/>
            <w:shd w:val="clear" w:color="auto" w:fill="D9EAF7"/>
            <w:vAlign w:val="center"/>
          </w:tcPr>
          <w:p w14:paraId="5D7E9473" w14:textId="77777777" w:rsidR="0071714B" w:rsidRDefault="0071714B" w:rsidP="00840F6F">
            <w:pPr>
              <w:spacing w:line="276" w:lineRule="auto"/>
              <w:jc w:val="center"/>
            </w:pPr>
            <w:r>
              <w:t>Exact p</w:t>
            </w:r>
          </w:p>
        </w:tc>
        <w:tc>
          <w:tcPr>
            <w:tcW w:w="1680" w:type="dxa"/>
            <w:shd w:val="clear" w:color="auto" w:fill="D9EAF7"/>
            <w:vAlign w:val="center"/>
          </w:tcPr>
          <w:p w14:paraId="5C11DF03" w14:textId="77777777" w:rsidR="0071714B" w:rsidRDefault="0071714B" w:rsidP="00840F6F">
            <w:pPr>
              <w:spacing w:line="276" w:lineRule="auto"/>
              <w:jc w:val="center"/>
            </w:pPr>
            <w:r>
              <w:t>BH-adjusted q</w:t>
            </w:r>
          </w:p>
        </w:tc>
        <w:tc>
          <w:tcPr>
            <w:tcW w:w="1680" w:type="dxa"/>
            <w:shd w:val="clear" w:color="auto" w:fill="D9EAF7"/>
            <w:vAlign w:val="center"/>
          </w:tcPr>
          <w:p w14:paraId="34A54AC3" w14:textId="77777777" w:rsidR="0071714B" w:rsidRDefault="0071714B" w:rsidP="00840F6F">
            <w:pPr>
              <w:spacing w:line="276" w:lineRule="auto"/>
              <w:jc w:val="center"/>
            </w:pPr>
            <w:r>
              <w:t>95% CI for Δ</w:t>
            </w:r>
          </w:p>
        </w:tc>
        <w:tc>
          <w:tcPr>
            <w:tcW w:w="1680" w:type="dxa"/>
            <w:shd w:val="clear" w:color="auto" w:fill="D9EAF7"/>
            <w:vAlign w:val="center"/>
          </w:tcPr>
          <w:p w14:paraId="4431D80E" w14:textId="77777777" w:rsidR="0071714B" w:rsidRDefault="0071714B" w:rsidP="00840F6F">
            <w:pPr>
              <w:spacing w:line="276" w:lineRule="auto"/>
              <w:jc w:val="center"/>
            </w:pPr>
            <w:r>
              <w:t xml:space="preserve">Cohen’s </w:t>
            </w:r>
            <w:proofErr w:type="spellStart"/>
            <w:r>
              <w:t>dz</w:t>
            </w:r>
            <w:proofErr w:type="spellEnd"/>
          </w:p>
        </w:tc>
        <w:tc>
          <w:tcPr>
            <w:tcW w:w="1680" w:type="dxa"/>
            <w:shd w:val="clear" w:color="auto" w:fill="D9EAF7"/>
            <w:vAlign w:val="center"/>
          </w:tcPr>
          <w:p w14:paraId="473A7A49" w14:textId="77777777" w:rsidR="0071714B" w:rsidRDefault="0071714B" w:rsidP="00840F6F">
            <w:pPr>
              <w:spacing w:line="276" w:lineRule="auto"/>
              <w:jc w:val="center"/>
            </w:pPr>
            <w:r>
              <w:t>Effect-size r</w:t>
            </w:r>
          </w:p>
        </w:tc>
      </w:tr>
      <w:tr w:rsidR="0071714B" w14:paraId="65C90007" w14:textId="77777777" w:rsidTr="00840F6F">
        <w:trPr>
          <w:jc w:val="center"/>
        </w:trPr>
        <w:tc>
          <w:tcPr>
            <w:tcW w:w="1680" w:type="dxa"/>
            <w:vAlign w:val="center"/>
          </w:tcPr>
          <w:p w14:paraId="19D9458B" w14:textId="77777777" w:rsidR="0071714B" w:rsidRDefault="0071714B" w:rsidP="00840F6F">
            <w:pPr>
              <w:spacing w:line="276" w:lineRule="auto"/>
              <w:jc w:val="center"/>
            </w:pPr>
            <w:r>
              <w:t>Trunk | Time (s)</w:t>
            </w:r>
          </w:p>
        </w:tc>
        <w:tc>
          <w:tcPr>
            <w:tcW w:w="1680" w:type="dxa"/>
            <w:vAlign w:val="center"/>
          </w:tcPr>
          <w:p w14:paraId="3F4DB3CC" w14:textId="77777777" w:rsidR="0071714B" w:rsidRDefault="0071714B" w:rsidP="00840F6F">
            <w:pPr>
              <w:spacing w:line="276" w:lineRule="auto"/>
              <w:jc w:val="center"/>
            </w:pPr>
            <w:r>
              <w:t>.009</w:t>
            </w:r>
          </w:p>
        </w:tc>
        <w:tc>
          <w:tcPr>
            <w:tcW w:w="1680" w:type="dxa"/>
            <w:vAlign w:val="center"/>
          </w:tcPr>
          <w:p w14:paraId="22F76BD5" w14:textId="77777777" w:rsidR="0071714B" w:rsidRDefault="0071714B" w:rsidP="00840F6F">
            <w:pPr>
              <w:spacing w:line="276" w:lineRule="auto"/>
              <w:jc w:val="center"/>
            </w:pPr>
            <w:r>
              <w:t>0.024</w:t>
            </w:r>
          </w:p>
        </w:tc>
        <w:tc>
          <w:tcPr>
            <w:tcW w:w="1680" w:type="dxa"/>
            <w:vAlign w:val="center"/>
          </w:tcPr>
          <w:p w14:paraId="08F0923D" w14:textId="77777777" w:rsidR="0071714B" w:rsidRDefault="0071714B" w:rsidP="00840F6F">
            <w:pPr>
              <w:spacing w:line="276" w:lineRule="auto"/>
              <w:jc w:val="center"/>
            </w:pPr>
            <w:r>
              <w:t>[-1.18, -0.376]</w:t>
            </w:r>
          </w:p>
        </w:tc>
        <w:tc>
          <w:tcPr>
            <w:tcW w:w="1680" w:type="dxa"/>
            <w:vAlign w:val="center"/>
          </w:tcPr>
          <w:p w14:paraId="1026E90F" w14:textId="77777777" w:rsidR="0071714B" w:rsidRDefault="0071714B" w:rsidP="00840F6F">
            <w:pPr>
              <w:spacing w:line="276" w:lineRule="auto"/>
              <w:jc w:val="center"/>
            </w:pPr>
            <w:r>
              <w:t>3.07</w:t>
            </w:r>
          </w:p>
        </w:tc>
        <w:tc>
          <w:tcPr>
            <w:tcW w:w="1680" w:type="dxa"/>
            <w:vAlign w:val="center"/>
          </w:tcPr>
          <w:p w14:paraId="3FC78F15" w14:textId="77777777" w:rsidR="0071714B" w:rsidRDefault="0071714B" w:rsidP="00840F6F">
            <w:pPr>
              <w:spacing w:line="276" w:lineRule="auto"/>
              <w:jc w:val="center"/>
            </w:pPr>
            <w:r>
              <w:t>-0.962</w:t>
            </w:r>
          </w:p>
        </w:tc>
      </w:tr>
      <w:tr w:rsidR="0071714B" w14:paraId="49960B12" w14:textId="77777777" w:rsidTr="00840F6F">
        <w:trPr>
          <w:jc w:val="center"/>
        </w:trPr>
        <w:tc>
          <w:tcPr>
            <w:tcW w:w="1680" w:type="dxa"/>
            <w:vAlign w:val="center"/>
          </w:tcPr>
          <w:p w14:paraId="6B12FFDB" w14:textId="77777777" w:rsidR="0071714B" w:rsidRDefault="0071714B" w:rsidP="00840F6F">
            <w:pPr>
              <w:spacing w:line="276" w:lineRule="auto"/>
              <w:jc w:val="center"/>
            </w:pPr>
            <w:r>
              <w:lastRenderedPageBreak/>
              <w:t>Trunk | Angular velocity (deg/s)</w:t>
            </w:r>
          </w:p>
        </w:tc>
        <w:tc>
          <w:tcPr>
            <w:tcW w:w="1680" w:type="dxa"/>
            <w:vAlign w:val="center"/>
          </w:tcPr>
          <w:p w14:paraId="52EE634D" w14:textId="77777777" w:rsidR="0071714B" w:rsidRDefault="0071714B" w:rsidP="00840F6F">
            <w:pPr>
              <w:spacing w:line="276" w:lineRule="auto"/>
              <w:jc w:val="center"/>
            </w:pPr>
            <w:r>
              <w:t>.052</w:t>
            </w:r>
          </w:p>
        </w:tc>
        <w:tc>
          <w:tcPr>
            <w:tcW w:w="1680" w:type="dxa"/>
            <w:vAlign w:val="center"/>
          </w:tcPr>
          <w:p w14:paraId="1E646CCC" w14:textId="77777777" w:rsidR="0071714B" w:rsidRDefault="0071714B" w:rsidP="00840F6F">
            <w:pPr>
              <w:spacing w:line="276" w:lineRule="auto"/>
              <w:jc w:val="center"/>
            </w:pPr>
            <w:r>
              <w:t>0.109</w:t>
            </w:r>
          </w:p>
        </w:tc>
        <w:tc>
          <w:tcPr>
            <w:tcW w:w="1680" w:type="dxa"/>
            <w:vAlign w:val="center"/>
          </w:tcPr>
          <w:p w14:paraId="0DAE9033" w14:textId="77777777" w:rsidR="0071714B" w:rsidRDefault="0071714B" w:rsidP="00840F6F">
            <w:pPr>
              <w:spacing w:line="276" w:lineRule="auto"/>
              <w:jc w:val="center"/>
            </w:pPr>
            <w:r>
              <w:t>[-135.57, 1.13]</w:t>
            </w:r>
          </w:p>
        </w:tc>
        <w:tc>
          <w:tcPr>
            <w:tcW w:w="1680" w:type="dxa"/>
            <w:vAlign w:val="center"/>
          </w:tcPr>
          <w:p w14:paraId="7CDEAFF1" w14:textId="77777777" w:rsidR="0071714B" w:rsidRDefault="0071714B" w:rsidP="00840F6F">
            <w:pPr>
              <w:spacing w:line="276" w:lineRule="auto"/>
              <w:jc w:val="center"/>
            </w:pPr>
            <w:r>
              <w:t>1.56</w:t>
            </w:r>
          </w:p>
        </w:tc>
        <w:tc>
          <w:tcPr>
            <w:tcW w:w="1680" w:type="dxa"/>
            <w:vAlign w:val="center"/>
          </w:tcPr>
          <w:p w14:paraId="0610B255" w14:textId="77777777" w:rsidR="0071714B" w:rsidRDefault="0071714B" w:rsidP="00840F6F">
            <w:pPr>
              <w:spacing w:line="276" w:lineRule="auto"/>
              <w:jc w:val="center"/>
            </w:pPr>
            <w:r>
              <w:t>-0.875</w:t>
            </w:r>
          </w:p>
        </w:tc>
      </w:tr>
      <w:tr w:rsidR="0071714B" w14:paraId="25649F8F" w14:textId="77777777" w:rsidTr="00840F6F">
        <w:trPr>
          <w:jc w:val="center"/>
        </w:trPr>
        <w:tc>
          <w:tcPr>
            <w:tcW w:w="1680" w:type="dxa"/>
            <w:vAlign w:val="center"/>
          </w:tcPr>
          <w:p w14:paraId="1C33811E" w14:textId="77777777" w:rsidR="0071714B" w:rsidRDefault="0071714B" w:rsidP="00840F6F">
            <w:pPr>
              <w:spacing w:line="276" w:lineRule="auto"/>
              <w:jc w:val="center"/>
            </w:pPr>
            <w:r>
              <w:t>Affected knee | Horizontal displacement</w:t>
            </w:r>
          </w:p>
        </w:tc>
        <w:tc>
          <w:tcPr>
            <w:tcW w:w="1680" w:type="dxa"/>
            <w:vAlign w:val="center"/>
          </w:tcPr>
          <w:p w14:paraId="7EED0BA0" w14:textId="77777777" w:rsidR="0071714B" w:rsidRDefault="0071714B" w:rsidP="00840F6F">
            <w:pPr>
              <w:spacing w:line="276" w:lineRule="auto"/>
              <w:jc w:val="center"/>
            </w:pPr>
            <w:r>
              <w:t>.049</w:t>
            </w:r>
          </w:p>
        </w:tc>
        <w:tc>
          <w:tcPr>
            <w:tcW w:w="1680" w:type="dxa"/>
            <w:vAlign w:val="center"/>
          </w:tcPr>
          <w:p w14:paraId="66E3EE03" w14:textId="77777777" w:rsidR="0071714B" w:rsidRDefault="0071714B" w:rsidP="00840F6F">
            <w:pPr>
              <w:spacing w:line="276" w:lineRule="auto"/>
              <w:jc w:val="center"/>
            </w:pPr>
            <w:r>
              <w:t>0.106</w:t>
            </w:r>
          </w:p>
        </w:tc>
        <w:tc>
          <w:tcPr>
            <w:tcW w:w="1680" w:type="dxa"/>
            <w:vAlign w:val="center"/>
          </w:tcPr>
          <w:p w14:paraId="512ED0B7" w14:textId="77777777" w:rsidR="0071714B" w:rsidRDefault="0071714B" w:rsidP="00840F6F">
            <w:pPr>
              <w:spacing w:line="276" w:lineRule="auto"/>
              <w:jc w:val="center"/>
            </w:pPr>
            <w:r>
              <w:t>[-73.05, -0.428]</w:t>
            </w:r>
          </w:p>
        </w:tc>
        <w:tc>
          <w:tcPr>
            <w:tcW w:w="1680" w:type="dxa"/>
            <w:vAlign w:val="center"/>
          </w:tcPr>
          <w:p w14:paraId="0C09DE57" w14:textId="77777777" w:rsidR="0071714B" w:rsidRDefault="0071714B" w:rsidP="00840F6F">
            <w:pPr>
              <w:spacing w:line="276" w:lineRule="auto"/>
              <w:jc w:val="center"/>
            </w:pPr>
            <w:r>
              <w:t>1.61</w:t>
            </w:r>
          </w:p>
        </w:tc>
        <w:tc>
          <w:tcPr>
            <w:tcW w:w="1680" w:type="dxa"/>
            <w:vAlign w:val="center"/>
          </w:tcPr>
          <w:p w14:paraId="71A36B9F" w14:textId="77777777" w:rsidR="0071714B" w:rsidRDefault="0071714B" w:rsidP="00840F6F">
            <w:pPr>
              <w:spacing w:line="276" w:lineRule="auto"/>
              <w:jc w:val="center"/>
            </w:pPr>
            <w:r>
              <w:t>-0.881</w:t>
            </w:r>
          </w:p>
        </w:tc>
      </w:tr>
      <w:tr w:rsidR="0071714B" w14:paraId="18140175" w14:textId="77777777" w:rsidTr="00840F6F">
        <w:trPr>
          <w:jc w:val="center"/>
        </w:trPr>
        <w:tc>
          <w:tcPr>
            <w:tcW w:w="1680" w:type="dxa"/>
            <w:vAlign w:val="center"/>
          </w:tcPr>
          <w:p w14:paraId="204A00E6" w14:textId="77777777" w:rsidR="0071714B" w:rsidRDefault="0071714B" w:rsidP="00840F6F">
            <w:pPr>
              <w:spacing w:line="276" w:lineRule="auto"/>
              <w:jc w:val="center"/>
            </w:pPr>
            <w:r>
              <w:t>Affected knee | Angular velocity (deg/s)</w:t>
            </w:r>
          </w:p>
        </w:tc>
        <w:tc>
          <w:tcPr>
            <w:tcW w:w="1680" w:type="dxa"/>
            <w:vAlign w:val="center"/>
          </w:tcPr>
          <w:p w14:paraId="52114A20" w14:textId="77777777" w:rsidR="0071714B" w:rsidRDefault="0071714B" w:rsidP="00840F6F">
            <w:pPr>
              <w:spacing w:line="276" w:lineRule="auto"/>
              <w:jc w:val="center"/>
            </w:pPr>
            <w:r>
              <w:t>.004</w:t>
            </w:r>
          </w:p>
        </w:tc>
        <w:tc>
          <w:tcPr>
            <w:tcW w:w="1680" w:type="dxa"/>
            <w:vAlign w:val="center"/>
          </w:tcPr>
          <w:p w14:paraId="7C558DE8" w14:textId="77777777" w:rsidR="0071714B" w:rsidRDefault="0071714B" w:rsidP="00840F6F">
            <w:pPr>
              <w:spacing w:line="276" w:lineRule="auto"/>
              <w:jc w:val="center"/>
            </w:pPr>
            <w:r>
              <w:t>0.015</w:t>
            </w:r>
          </w:p>
        </w:tc>
        <w:tc>
          <w:tcPr>
            <w:tcW w:w="1680" w:type="dxa"/>
            <w:vAlign w:val="center"/>
          </w:tcPr>
          <w:p w14:paraId="7931E6C7" w14:textId="77777777" w:rsidR="0071714B" w:rsidRDefault="0071714B" w:rsidP="00840F6F">
            <w:pPr>
              <w:spacing w:line="276" w:lineRule="auto"/>
              <w:jc w:val="center"/>
            </w:pPr>
            <w:r>
              <w:t>[-546.77, -237.49]</w:t>
            </w:r>
          </w:p>
        </w:tc>
        <w:tc>
          <w:tcPr>
            <w:tcW w:w="1680" w:type="dxa"/>
            <w:vAlign w:val="center"/>
          </w:tcPr>
          <w:p w14:paraId="0A6F56E8" w14:textId="77777777" w:rsidR="0071714B" w:rsidRDefault="0071714B" w:rsidP="00840F6F">
            <w:pPr>
              <w:spacing w:line="276" w:lineRule="auto"/>
              <w:jc w:val="center"/>
            </w:pPr>
            <w:r>
              <w:t>4.04</w:t>
            </w:r>
          </w:p>
        </w:tc>
        <w:tc>
          <w:tcPr>
            <w:tcW w:w="1680" w:type="dxa"/>
            <w:vAlign w:val="center"/>
          </w:tcPr>
          <w:p w14:paraId="6C65CA6F" w14:textId="77777777" w:rsidR="0071714B" w:rsidRDefault="0071714B" w:rsidP="00840F6F">
            <w:pPr>
              <w:spacing w:line="276" w:lineRule="auto"/>
              <w:jc w:val="center"/>
            </w:pPr>
            <w:r>
              <w:t>-0.978</w:t>
            </w:r>
          </w:p>
        </w:tc>
      </w:tr>
      <w:tr w:rsidR="0071714B" w14:paraId="542103F1" w14:textId="77777777" w:rsidTr="00840F6F">
        <w:trPr>
          <w:jc w:val="center"/>
        </w:trPr>
        <w:tc>
          <w:tcPr>
            <w:tcW w:w="1680" w:type="dxa"/>
            <w:vAlign w:val="center"/>
          </w:tcPr>
          <w:p w14:paraId="5288A62B" w14:textId="77777777" w:rsidR="0071714B" w:rsidRDefault="0071714B" w:rsidP="00840F6F">
            <w:pPr>
              <w:spacing w:line="276" w:lineRule="auto"/>
              <w:jc w:val="center"/>
            </w:pPr>
            <w:r>
              <w:t>Affected knee | Angular acceleration (deg/s²)</w:t>
            </w:r>
          </w:p>
        </w:tc>
        <w:tc>
          <w:tcPr>
            <w:tcW w:w="1680" w:type="dxa"/>
            <w:vAlign w:val="center"/>
          </w:tcPr>
          <w:p w14:paraId="5F5B9018" w14:textId="77777777" w:rsidR="0071714B" w:rsidRDefault="0071714B" w:rsidP="00840F6F">
            <w:pPr>
              <w:spacing w:line="276" w:lineRule="auto"/>
              <w:jc w:val="center"/>
            </w:pPr>
            <w:r>
              <w:t>.004</w:t>
            </w:r>
          </w:p>
        </w:tc>
        <w:tc>
          <w:tcPr>
            <w:tcW w:w="1680" w:type="dxa"/>
            <w:vAlign w:val="center"/>
          </w:tcPr>
          <w:p w14:paraId="56B3C5B4" w14:textId="77777777" w:rsidR="0071714B" w:rsidRDefault="0071714B" w:rsidP="00840F6F">
            <w:pPr>
              <w:spacing w:line="276" w:lineRule="auto"/>
              <w:jc w:val="center"/>
            </w:pPr>
            <w:r>
              <w:t>0.015</w:t>
            </w:r>
          </w:p>
        </w:tc>
        <w:tc>
          <w:tcPr>
            <w:tcW w:w="1680" w:type="dxa"/>
            <w:vAlign w:val="center"/>
          </w:tcPr>
          <w:p w14:paraId="49B47430" w14:textId="77777777" w:rsidR="0071714B" w:rsidRDefault="0071714B" w:rsidP="00840F6F">
            <w:pPr>
              <w:spacing w:line="276" w:lineRule="auto"/>
              <w:jc w:val="center"/>
            </w:pPr>
            <w:r>
              <w:t>[-13,624.10, -5,820.60]</w:t>
            </w:r>
          </w:p>
        </w:tc>
        <w:tc>
          <w:tcPr>
            <w:tcW w:w="1680" w:type="dxa"/>
            <w:vAlign w:val="center"/>
          </w:tcPr>
          <w:p w14:paraId="2ADA4190" w14:textId="77777777" w:rsidR="0071714B" w:rsidRDefault="0071714B" w:rsidP="00840F6F">
            <w:pPr>
              <w:spacing w:line="276" w:lineRule="auto"/>
              <w:jc w:val="center"/>
            </w:pPr>
            <w:r>
              <w:t>3.96</w:t>
            </w:r>
          </w:p>
        </w:tc>
        <w:tc>
          <w:tcPr>
            <w:tcW w:w="1680" w:type="dxa"/>
            <w:vAlign w:val="center"/>
          </w:tcPr>
          <w:p w14:paraId="1211E8EA" w14:textId="77777777" w:rsidR="0071714B" w:rsidRDefault="0071714B" w:rsidP="00840F6F">
            <w:pPr>
              <w:spacing w:line="276" w:lineRule="auto"/>
              <w:jc w:val="center"/>
            </w:pPr>
            <w:r>
              <w:t>-0.977</w:t>
            </w:r>
          </w:p>
        </w:tc>
      </w:tr>
      <w:tr w:rsidR="0071714B" w14:paraId="156480A5" w14:textId="77777777" w:rsidTr="00840F6F">
        <w:trPr>
          <w:jc w:val="center"/>
        </w:trPr>
        <w:tc>
          <w:tcPr>
            <w:tcW w:w="1680" w:type="dxa"/>
            <w:vAlign w:val="center"/>
          </w:tcPr>
          <w:p w14:paraId="11A11177" w14:textId="77777777" w:rsidR="0071714B" w:rsidRDefault="0071714B" w:rsidP="00840F6F">
            <w:pPr>
              <w:spacing w:line="276" w:lineRule="auto"/>
              <w:jc w:val="center"/>
            </w:pPr>
            <w:r>
              <w:t>Affected ankle | Angular velocity (deg/s)</w:t>
            </w:r>
          </w:p>
        </w:tc>
        <w:tc>
          <w:tcPr>
            <w:tcW w:w="1680" w:type="dxa"/>
            <w:vAlign w:val="center"/>
          </w:tcPr>
          <w:p w14:paraId="6B27BEB2" w14:textId="77777777" w:rsidR="0071714B" w:rsidRDefault="0071714B" w:rsidP="00840F6F">
            <w:pPr>
              <w:spacing w:line="276" w:lineRule="auto"/>
              <w:jc w:val="center"/>
            </w:pPr>
            <w:r>
              <w:t>&lt; .001</w:t>
            </w:r>
          </w:p>
        </w:tc>
        <w:tc>
          <w:tcPr>
            <w:tcW w:w="1680" w:type="dxa"/>
            <w:vAlign w:val="center"/>
          </w:tcPr>
          <w:p w14:paraId="6ECBA2E7" w14:textId="77777777" w:rsidR="0071714B" w:rsidRDefault="0071714B" w:rsidP="00840F6F">
            <w:pPr>
              <w:spacing w:line="276" w:lineRule="auto"/>
              <w:jc w:val="center"/>
            </w:pPr>
            <w:r>
              <w:t>0.001</w:t>
            </w:r>
          </w:p>
        </w:tc>
        <w:tc>
          <w:tcPr>
            <w:tcW w:w="1680" w:type="dxa"/>
            <w:vAlign w:val="center"/>
          </w:tcPr>
          <w:p w14:paraId="15357C05" w14:textId="77777777" w:rsidR="0071714B" w:rsidRDefault="0071714B" w:rsidP="00840F6F">
            <w:pPr>
              <w:spacing w:line="276" w:lineRule="auto"/>
              <w:jc w:val="center"/>
            </w:pPr>
            <w:r>
              <w:t>[-157.18, -121.28]</w:t>
            </w:r>
          </w:p>
        </w:tc>
        <w:tc>
          <w:tcPr>
            <w:tcW w:w="1680" w:type="dxa"/>
            <w:vAlign w:val="center"/>
          </w:tcPr>
          <w:p w14:paraId="3FE38849" w14:textId="77777777" w:rsidR="0071714B" w:rsidRDefault="0071714B" w:rsidP="00840F6F">
            <w:pPr>
              <w:spacing w:line="276" w:lineRule="auto"/>
              <w:jc w:val="center"/>
            </w:pPr>
            <w:r>
              <w:t>12.35</w:t>
            </w:r>
          </w:p>
        </w:tc>
        <w:tc>
          <w:tcPr>
            <w:tcW w:w="1680" w:type="dxa"/>
            <w:vAlign w:val="center"/>
          </w:tcPr>
          <w:p w14:paraId="16F02267" w14:textId="77777777" w:rsidR="0071714B" w:rsidRDefault="0071714B" w:rsidP="00840F6F">
            <w:pPr>
              <w:spacing w:line="276" w:lineRule="auto"/>
              <w:jc w:val="center"/>
            </w:pPr>
            <w:r>
              <w:t>-0.998</w:t>
            </w:r>
          </w:p>
        </w:tc>
      </w:tr>
      <w:tr w:rsidR="0071714B" w14:paraId="6648DD58" w14:textId="77777777" w:rsidTr="00840F6F">
        <w:trPr>
          <w:jc w:val="center"/>
        </w:trPr>
        <w:tc>
          <w:tcPr>
            <w:tcW w:w="1680" w:type="dxa"/>
            <w:vAlign w:val="center"/>
          </w:tcPr>
          <w:p w14:paraId="4BA7E866" w14:textId="77777777" w:rsidR="0071714B" w:rsidRDefault="0071714B" w:rsidP="00840F6F">
            <w:pPr>
              <w:spacing w:line="276" w:lineRule="auto"/>
              <w:jc w:val="center"/>
            </w:pPr>
            <w:r>
              <w:t xml:space="preserve">Vertical </w:t>
            </w:r>
            <w:proofErr w:type="spellStart"/>
            <w:r>
              <w:t>CoM</w:t>
            </w:r>
            <w:proofErr w:type="spellEnd"/>
            <w:r>
              <w:t xml:space="preserve"> displacement | Time (s)</w:t>
            </w:r>
          </w:p>
        </w:tc>
        <w:tc>
          <w:tcPr>
            <w:tcW w:w="1680" w:type="dxa"/>
            <w:vAlign w:val="center"/>
          </w:tcPr>
          <w:p w14:paraId="038B5C36" w14:textId="77777777" w:rsidR="0071714B" w:rsidRDefault="0071714B" w:rsidP="00840F6F">
            <w:pPr>
              <w:spacing w:line="276" w:lineRule="auto"/>
              <w:jc w:val="center"/>
            </w:pPr>
            <w:r>
              <w:t>&lt; .001</w:t>
            </w:r>
          </w:p>
        </w:tc>
        <w:tc>
          <w:tcPr>
            <w:tcW w:w="1680" w:type="dxa"/>
            <w:vAlign w:val="center"/>
          </w:tcPr>
          <w:p w14:paraId="145D3E37" w14:textId="77777777" w:rsidR="0071714B" w:rsidRDefault="0071714B" w:rsidP="00840F6F">
            <w:pPr>
              <w:spacing w:line="276" w:lineRule="auto"/>
              <w:jc w:val="center"/>
            </w:pPr>
            <w:r>
              <w:t>0.004</w:t>
            </w:r>
          </w:p>
        </w:tc>
        <w:tc>
          <w:tcPr>
            <w:tcW w:w="1680" w:type="dxa"/>
            <w:vAlign w:val="center"/>
          </w:tcPr>
          <w:p w14:paraId="5828791A" w14:textId="77777777" w:rsidR="0071714B" w:rsidRDefault="0071714B" w:rsidP="00840F6F">
            <w:pPr>
              <w:spacing w:line="276" w:lineRule="auto"/>
              <w:jc w:val="center"/>
            </w:pPr>
            <w:r>
              <w:t>[-0.169, -0.111]</w:t>
            </w:r>
          </w:p>
        </w:tc>
        <w:tc>
          <w:tcPr>
            <w:tcW w:w="1680" w:type="dxa"/>
            <w:vAlign w:val="center"/>
          </w:tcPr>
          <w:p w14:paraId="23BAD255" w14:textId="77777777" w:rsidR="0071714B" w:rsidRDefault="0071714B" w:rsidP="00840F6F">
            <w:pPr>
              <w:spacing w:line="276" w:lineRule="auto"/>
              <w:jc w:val="center"/>
            </w:pPr>
            <w:r>
              <w:t>7.79</w:t>
            </w:r>
          </w:p>
        </w:tc>
        <w:tc>
          <w:tcPr>
            <w:tcW w:w="1680" w:type="dxa"/>
            <w:vAlign w:val="center"/>
          </w:tcPr>
          <w:p w14:paraId="5123D255" w14:textId="77777777" w:rsidR="0071714B" w:rsidRDefault="0071714B" w:rsidP="00840F6F">
            <w:pPr>
              <w:spacing w:line="276" w:lineRule="auto"/>
              <w:jc w:val="center"/>
            </w:pPr>
            <w:r>
              <w:t>-0.994</w:t>
            </w:r>
          </w:p>
        </w:tc>
      </w:tr>
      <w:tr w:rsidR="0071714B" w14:paraId="5D84DED4" w14:textId="77777777" w:rsidTr="00840F6F">
        <w:trPr>
          <w:jc w:val="center"/>
        </w:trPr>
        <w:tc>
          <w:tcPr>
            <w:tcW w:w="1680" w:type="dxa"/>
            <w:vAlign w:val="center"/>
          </w:tcPr>
          <w:p w14:paraId="14606A57" w14:textId="77777777" w:rsidR="0071714B" w:rsidRDefault="0071714B" w:rsidP="00840F6F">
            <w:pPr>
              <w:spacing w:line="276" w:lineRule="auto"/>
              <w:jc w:val="center"/>
            </w:pPr>
            <w:r>
              <w:t>Ankle inter-limb gap | Horizontal displacement</w:t>
            </w:r>
          </w:p>
        </w:tc>
        <w:tc>
          <w:tcPr>
            <w:tcW w:w="1680" w:type="dxa"/>
            <w:vAlign w:val="center"/>
          </w:tcPr>
          <w:p w14:paraId="51DC3843" w14:textId="77777777" w:rsidR="0071714B" w:rsidRDefault="0071714B" w:rsidP="00840F6F">
            <w:pPr>
              <w:spacing w:line="276" w:lineRule="auto"/>
              <w:jc w:val="center"/>
            </w:pPr>
            <w:r>
              <w:t>&lt; .001</w:t>
            </w:r>
          </w:p>
        </w:tc>
        <w:tc>
          <w:tcPr>
            <w:tcW w:w="1680" w:type="dxa"/>
            <w:vAlign w:val="center"/>
          </w:tcPr>
          <w:p w14:paraId="08674613" w14:textId="77777777" w:rsidR="0071714B" w:rsidRDefault="0071714B" w:rsidP="00840F6F">
            <w:pPr>
              <w:spacing w:line="276" w:lineRule="auto"/>
              <w:jc w:val="center"/>
            </w:pPr>
            <w:r>
              <w:t>0.001</w:t>
            </w:r>
          </w:p>
        </w:tc>
        <w:tc>
          <w:tcPr>
            <w:tcW w:w="1680" w:type="dxa"/>
            <w:vAlign w:val="center"/>
          </w:tcPr>
          <w:p w14:paraId="7CF7F14F" w14:textId="77777777" w:rsidR="0071714B" w:rsidRDefault="0071714B" w:rsidP="00840F6F">
            <w:pPr>
              <w:spacing w:line="276" w:lineRule="auto"/>
              <w:jc w:val="center"/>
            </w:pPr>
            <w:r>
              <w:t>[-15.57, -13.11]</w:t>
            </w:r>
          </w:p>
        </w:tc>
        <w:tc>
          <w:tcPr>
            <w:tcW w:w="1680" w:type="dxa"/>
            <w:vAlign w:val="center"/>
          </w:tcPr>
          <w:p w14:paraId="4EF15C8F" w14:textId="77777777" w:rsidR="0071714B" w:rsidRDefault="0071714B" w:rsidP="00840F6F">
            <w:pPr>
              <w:spacing w:line="276" w:lineRule="auto"/>
              <w:jc w:val="center"/>
            </w:pPr>
            <w:r>
              <w:t>18.59</w:t>
            </w:r>
          </w:p>
        </w:tc>
        <w:tc>
          <w:tcPr>
            <w:tcW w:w="1680" w:type="dxa"/>
            <w:vAlign w:val="center"/>
          </w:tcPr>
          <w:p w14:paraId="1C78B357" w14:textId="77777777" w:rsidR="0071714B" w:rsidRDefault="0071714B" w:rsidP="00840F6F">
            <w:pPr>
              <w:spacing w:line="276" w:lineRule="auto"/>
              <w:jc w:val="center"/>
            </w:pPr>
            <w:r>
              <w:t>-0.999</w:t>
            </w:r>
          </w:p>
        </w:tc>
      </w:tr>
    </w:tbl>
    <w:p w14:paraId="4D655D22" w14:textId="77777777" w:rsidR="0071714B" w:rsidRDefault="0071714B" w:rsidP="0071714B"/>
    <w:p w14:paraId="44B2AD54" w14:textId="77777777" w:rsidR="0071714B" w:rsidRDefault="0071714B" w:rsidP="0071714B">
      <w:pPr>
        <w:rPr>
          <w:rtl/>
        </w:rPr>
      </w:pPr>
    </w:p>
    <w:p w14:paraId="15B05067" w14:textId="77777777" w:rsidR="0071714B" w:rsidRDefault="0071714B" w:rsidP="0071714B">
      <w:pPr>
        <w:rPr>
          <w:rtl/>
        </w:rPr>
      </w:pPr>
    </w:p>
    <w:p w14:paraId="28092D93" w14:textId="77777777" w:rsidR="0071714B" w:rsidRDefault="0071714B" w:rsidP="0071714B">
      <w:pPr>
        <w:rPr>
          <w:rtl/>
        </w:rPr>
      </w:pPr>
    </w:p>
    <w:p w14:paraId="0326360D" w14:textId="77777777" w:rsidR="0071714B" w:rsidRDefault="0071714B" w:rsidP="0071714B"/>
    <w:p w14:paraId="6BF4356F" w14:textId="77777777" w:rsidR="0071714B" w:rsidRDefault="0071714B" w:rsidP="0071714B"/>
    <w:p w14:paraId="12B2E3AF" w14:textId="77777777" w:rsidR="0071714B" w:rsidRDefault="0071714B" w:rsidP="0071714B">
      <w:pPr>
        <w:jc w:val="center"/>
      </w:pPr>
      <w:r>
        <w:rPr>
          <w:b/>
        </w:rPr>
        <w:t>Table 3. Advanced statistical summary of analytical robustness.</w:t>
      </w:r>
    </w:p>
    <w:tbl>
      <w:tblPr>
        <w:tblStyle w:val="a5"/>
        <w:tblW w:w="0" w:type="auto"/>
        <w:jc w:val="center"/>
        <w:tblLook w:val="04A0" w:firstRow="1" w:lastRow="0" w:firstColumn="1" w:lastColumn="0" w:noHBand="0" w:noVBand="1"/>
      </w:tblPr>
      <w:tblGrid>
        <w:gridCol w:w="3222"/>
        <w:gridCol w:w="3181"/>
        <w:gridCol w:w="3226"/>
      </w:tblGrid>
      <w:tr w:rsidR="0071714B" w14:paraId="3C16FDA4" w14:textId="77777777" w:rsidTr="00840F6F">
        <w:trPr>
          <w:jc w:val="center"/>
        </w:trPr>
        <w:tc>
          <w:tcPr>
            <w:tcW w:w="3360" w:type="dxa"/>
            <w:shd w:val="clear" w:color="auto" w:fill="D9EAF7"/>
            <w:vAlign w:val="center"/>
          </w:tcPr>
          <w:p w14:paraId="73D55A75" w14:textId="77777777" w:rsidR="0071714B" w:rsidRDefault="0071714B" w:rsidP="00840F6F">
            <w:pPr>
              <w:jc w:val="center"/>
            </w:pPr>
            <w:r>
              <w:t>Statistic</w:t>
            </w:r>
          </w:p>
        </w:tc>
        <w:tc>
          <w:tcPr>
            <w:tcW w:w="3360" w:type="dxa"/>
            <w:shd w:val="clear" w:color="auto" w:fill="D9EAF7"/>
            <w:vAlign w:val="center"/>
          </w:tcPr>
          <w:p w14:paraId="5AFC28F2" w14:textId="77777777" w:rsidR="0071714B" w:rsidRDefault="0071714B" w:rsidP="00840F6F">
            <w:pPr>
              <w:jc w:val="center"/>
            </w:pPr>
            <w:r>
              <w:t>Pre–post</w:t>
            </w:r>
          </w:p>
        </w:tc>
        <w:tc>
          <w:tcPr>
            <w:tcW w:w="3360" w:type="dxa"/>
            <w:shd w:val="clear" w:color="auto" w:fill="D9EAF7"/>
            <w:vAlign w:val="center"/>
          </w:tcPr>
          <w:p w14:paraId="16BBC23B" w14:textId="77777777" w:rsidR="0071714B" w:rsidRDefault="0071714B" w:rsidP="00840F6F">
            <w:pPr>
              <w:jc w:val="center"/>
            </w:pPr>
            <w:r>
              <w:t>Asymmetry-gap</w:t>
            </w:r>
          </w:p>
        </w:tc>
      </w:tr>
      <w:tr w:rsidR="0071714B" w14:paraId="58C77534" w14:textId="77777777" w:rsidTr="00840F6F">
        <w:trPr>
          <w:jc w:val="center"/>
        </w:trPr>
        <w:tc>
          <w:tcPr>
            <w:tcW w:w="3360" w:type="dxa"/>
            <w:vAlign w:val="center"/>
          </w:tcPr>
          <w:p w14:paraId="590D5CDC" w14:textId="77777777" w:rsidR="0071714B" w:rsidRDefault="0071714B" w:rsidP="00840F6F">
            <w:pPr>
              <w:jc w:val="center"/>
            </w:pPr>
            <w:r>
              <w:t>Number of outcomes</w:t>
            </w:r>
          </w:p>
        </w:tc>
        <w:tc>
          <w:tcPr>
            <w:tcW w:w="3360" w:type="dxa"/>
            <w:vAlign w:val="center"/>
          </w:tcPr>
          <w:p w14:paraId="70B04D6B" w14:textId="77777777" w:rsidR="0071714B" w:rsidRDefault="0071714B" w:rsidP="00840F6F">
            <w:pPr>
              <w:jc w:val="center"/>
            </w:pPr>
            <w:r>
              <w:t>73</w:t>
            </w:r>
          </w:p>
        </w:tc>
        <w:tc>
          <w:tcPr>
            <w:tcW w:w="3360" w:type="dxa"/>
            <w:vAlign w:val="center"/>
          </w:tcPr>
          <w:p w14:paraId="3696F87C" w14:textId="77777777" w:rsidR="0071714B" w:rsidRDefault="0071714B" w:rsidP="00840F6F">
            <w:pPr>
              <w:jc w:val="center"/>
            </w:pPr>
            <w:r>
              <w:t>32</w:t>
            </w:r>
          </w:p>
        </w:tc>
      </w:tr>
      <w:tr w:rsidR="0071714B" w14:paraId="5C1B17CF" w14:textId="77777777" w:rsidTr="00840F6F">
        <w:trPr>
          <w:jc w:val="center"/>
        </w:trPr>
        <w:tc>
          <w:tcPr>
            <w:tcW w:w="3360" w:type="dxa"/>
            <w:vAlign w:val="center"/>
          </w:tcPr>
          <w:p w14:paraId="76E822A8" w14:textId="77777777" w:rsidR="0071714B" w:rsidRDefault="0071714B" w:rsidP="00840F6F">
            <w:pPr>
              <w:jc w:val="center"/>
            </w:pPr>
            <w:r>
              <w:t>Initially significant outcomes (p &lt; .05)</w:t>
            </w:r>
          </w:p>
        </w:tc>
        <w:tc>
          <w:tcPr>
            <w:tcW w:w="3360" w:type="dxa"/>
            <w:vAlign w:val="center"/>
          </w:tcPr>
          <w:p w14:paraId="42866DE8" w14:textId="77777777" w:rsidR="0071714B" w:rsidRDefault="0071714B" w:rsidP="00840F6F">
            <w:pPr>
              <w:jc w:val="center"/>
            </w:pPr>
            <w:r>
              <w:t>42</w:t>
            </w:r>
          </w:p>
        </w:tc>
        <w:tc>
          <w:tcPr>
            <w:tcW w:w="3360" w:type="dxa"/>
            <w:vAlign w:val="center"/>
          </w:tcPr>
          <w:p w14:paraId="3A334642" w14:textId="77777777" w:rsidR="0071714B" w:rsidRDefault="0071714B" w:rsidP="00840F6F">
            <w:pPr>
              <w:jc w:val="center"/>
            </w:pPr>
            <w:r>
              <w:t>6</w:t>
            </w:r>
          </w:p>
        </w:tc>
      </w:tr>
      <w:tr w:rsidR="0071714B" w14:paraId="52038BE1" w14:textId="77777777" w:rsidTr="00840F6F">
        <w:trPr>
          <w:jc w:val="center"/>
        </w:trPr>
        <w:tc>
          <w:tcPr>
            <w:tcW w:w="3360" w:type="dxa"/>
            <w:vAlign w:val="center"/>
          </w:tcPr>
          <w:p w14:paraId="166D4521" w14:textId="77777777" w:rsidR="0071714B" w:rsidRDefault="0071714B" w:rsidP="00840F6F">
            <w:pPr>
              <w:jc w:val="center"/>
            </w:pPr>
            <w:r>
              <w:t>Significant after BH-FDR</w:t>
            </w:r>
          </w:p>
        </w:tc>
        <w:tc>
          <w:tcPr>
            <w:tcW w:w="3360" w:type="dxa"/>
            <w:vAlign w:val="center"/>
          </w:tcPr>
          <w:p w14:paraId="7901D029" w14:textId="77777777" w:rsidR="0071714B" w:rsidRDefault="0071714B" w:rsidP="00840F6F">
            <w:pPr>
              <w:jc w:val="center"/>
            </w:pPr>
            <w:r>
              <w:t>38</w:t>
            </w:r>
          </w:p>
        </w:tc>
        <w:tc>
          <w:tcPr>
            <w:tcW w:w="3360" w:type="dxa"/>
            <w:vAlign w:val="center"/>
          </w:tcPr>
          <w:p w14:paraId="559BB88B" w14:textId="77777777" w:rsidR="0071714B" w:rsidRDefault="0071714B" w:rsidP="00840F6F">
            <w:pPr>
              <w:jc w:val="center"/>
            </w:pPr>
            <w:r>
              <w:t>5</w:t>
            </w:r>
          </w:p>
        </w:tc>
      </w:tr>
      <w:tr w:rsidR="0071714B" w14:paraId="7082B615" w14:textId="77777777" w:rsidTr="00840F6F">
        <w:trPr>
          <w:jc w:val="center"/>
        </w:trPr>
        <w:tc>
          <w:tcPr>
            <w:tcW w:w="3360" w:type="dxa"/>
            <w:vAlign w:val="center"/>
          </w:tcPr>
          <w:p w14:paraId="6D1A1957" w14:textId="77777777" w:rsidR="0071714B" w:rsidRDefault="0071714B" w:rsidP="00840F6F">
            <w:pPr>
              <w:jc w:val="center"/>
            </w:pPr>
            <w:r>
              <w:t>Significant after Holm</w:t>
            </w:r>
          </w:p>
        </w:tc>
        <w:tc>
          <w:tcPr>
            <w:tcW w:w="3360" w:type="dxa"/>
            <w:vAlign w:val="center"/>
          </w:tcPr>
          <w:p w14:paraId="1D4B204F" w14:textId="77777777" w:rsidR="0071714B" w:rsidRDefault="0071714B" w:rsidP="00840F6F">
            <w:pPr>
              <w:jc w:val="center"/>
            </w:pPr>
            <w:r>
              <w:t>18</w:t>
            </w:r>
          </w:p>
        </w:tc>
        <w:tc>
          <w:tcPr>
            <w:tcW w:w="3360" w:type="dxa"/>
            <w:vAlign w:val="center"/>
          </w:tcPr>
          <w:p w14:paraId="66233A5C" w14:textId="77777777" w:rsidR="0071714B" w:rsidRDefault="0071714B" w:rsidP="00840F6F">
            <w:pPr>
              <w:jc w:val="center"/>
            </w:pPr>
            <w:r>
              <w:t>2</w:t>
            </w:r>
          </w:p>
        </w:tc>
      </w:tr>
      <w:tr w:rsidR="0071714B" w14:paraId="5B07EA58" w14:textId="77777777" w:rsidTr="00840F6F">
        <w:trPr>
          <w:jc w:val="center"/>
        </w:trPr>
        <w:tc>
          <w:tcPr>
            <w:tcW w:w="3360" w:type="dxa"/>
            <w:vAlign w:val="center"/>
          </w:tcPr>
          <w:p w14:paraId="61903B96" w14:textId="77777777" w:rsidR="0071714B" w:rsidRDefault="0071714B" w:rsidP="00840F6F">
            <w:pPr>
              <w:jc w:val="center"/>
            </w:pPr>
            <w:r>
              <w:t>Significant after Bonferroni</w:t>
            </w:r>
          </w:p>
        </w:tc>
        <w:tc>
          <w:tcPr>
            <w:tcW w:w="3360" w:type="dxa"/>
            <w:vAlign w:val="center"/>
          </w:tcPr>
          <w:p w14:paraId="754AE259" w14:textId="77777777" w:rsidR="0071714B" w:rsidRDefault="0071714B" w:rsidP="00840F6F">
            <w:pPr>
              <w:jc w:val="center"/>
            </w:pPr>
            <w:r>
              <w:t>14</w:t>
            </w:r>
          </w:p>
        </w:tc>
        <w:tc>
          <w:tcPr>
            <w:tcW w:w="3360" w:type="dxa"/>
            <w:vAlign w:val="center"/>
          </w:tcPr>
          <w:p w14:paraId="54DA7002" w14:textId="77777777" w:rsidR="0071714B" w:rsidRDefault="0071714B" w:rsidP="00840F6F">
            <w:pPr>
              <w:jc w:val="center"/>
            </w:pPr>
            <w:r>
              <w:t>2</w:t>
            </w:r>
          </w:p>
        </w:tc>
      </w:tr>
      <w:tr w:rsidR="0071714B" w14:paraId="218CEB7E" w14:textId="77777777" w:rsidTr="00840F6F">
        <w:trPr>
          <w:jc w:val="center"/>
        </w:trPr>
        <w:tc>
          <w:tcPr>
            <w:tcW w:w="3360" w:type="dxa"/>
            <w:vAlign w:val="center"/>
          </w:tcPr>
          <w:p w14:paraId="59B62834" w14:textId="77777777" w:rsidR="0071714B" w:rsidRDefault="0071714B" w:rsidP="00840F6F">
            <w:pPr>
              <w:jc w:val="center"/>
            </w:pPr>
            <w:r>
              <w:t>Median SRM</w:t>
            </w:r>
          </w:p>
        </w:tc>
        <w:tc>
          <w:tcPr>
            <w:tcW w:w="3360" w:type="dxa"/>
            <w:vAlign w:val="center"/>
          </w:tcPr>
          <w:p w14:paraId="3C3144DB" w14:textId="77777777" w:rsidR="0071714B" w:rsidRDefault="0071714B" w:rsidP="00840F6F">
            <w:pPr>
              <w:jc w:val="center"/>
            </w:pPr>
            <w:r>
              <w:t>2.50</w:t>
            </w:r>
          </w:p>
        </w:tc>
        <w:tc>
          <w:tcPr>
            <w:tcW w:w="3360" w:type="dxa"/>
            <w:vAlign w:val="center"/>
          </w:tcPr>
          <w:p w14:paraId="492B69F6" w14:textId="77777777" w:rsidR="0071714B" w:rsidRDefault="0071714B" w:rsidP="00840F6F">
            <w:pPr>
              <w:jc w:val="center"/>
            </w:pPr>
            <w:r>
              <w:t>0.603</w:t>
            </w:r>
          </w:p>
        </w:tc>
      </w:tr>
      <w:tr w:rsidR="0071714B" w14:paraId="1239083F" w14:textId="77777777" w:rsidTr="00840F6F">
        <w:trPr>
          <w:jc w:val="center"/>
        </w:trPr>
        <w:tc>
          <w:tcPr>
            <w:tcW w:w="3360" w:type="dxa"/>
            <w:vAlign w:val="center"/>
          </w:tcPr>
          <w:p w14:paraId="3633148B" w14:textId="77777777" w:rsidR="0071714B" w:rsidRDefault="0071714B" w:rsidP="00840F6F">
            <w:pPr>
              <w:jc w:val="center"/>
            </w:pPr>
            <w:r>
              <w:t>Median |log response ratio|</w:t>
            </w:r>
          </w:p>
        </w:tc>
        <w:tc>
          <w:tcPr>
            <w:tcW w:w="3360" w:type="dxa"/>
            <w:vAlign w:val="center"/>
          </w:tcPr>
          <w:p w14:paraId="60A7F52E" w14:textId="77777777" w:rsidR="0071714B" w:rsidRDefault="0071714B" w:rsidP="00840F6F">
            <w:pPr>
              <w:jc w:val="center"/>
            </w:pPr>
            <w:r>
              <w:t>2.46</w:t>
            </w:r>
          </w:p>
        </w:tc>
        <w:tc>
          <w:tcPr>
            <w:tcW w:w="3360" w:type="dxa"/>
            <w:vAlign w:val="center"/>
          </w:tcPr>
          <w:p w14:paraId="2675DA00" w14:textId="77777777" w:rsidR="0071714B" w:rsidRDefault="0071714B" w:rsidP="00840F6F">
            <w:pPr>
              <w:jc w:val="center"/>
            </w:pPr>
            <w:r>
              <w:t>1.90</w:t>
            </w:r>
          </w:p>
        </w:tc>
      </w:tr>
      <w:tr w:rsidR="0071714B" w14:paraId="44E21883" w14:textId="77777777" w:rsidTr="00840F6F">
        <w:trPr>
          <w:jc w:val="center"/>
        </w:trPr>
        <w:tc>
          <w:tcPr>
            <w:tcW w:w="3360" w:type="dxa"/>
            <w:vAlign w:val="center"/>
          </w:tcPr>
          <w:p w14:paraId="30FE0EFC" w14:textId="77777777" w:rsidR="0071714B" w:rsidRDefault="0071714B" w:rsidP="00840F6F">
            <w:pPr>
              <w:jc w:val="center"/>
            </w:pPr>
            <w:r>
              <w:t>Directional consistency test</w:t>
            </w:r>
          </w:p>
        </w:tc>
        <w:tc>
          <w:tcPr>
            <w:tcW w:w="3360" w:type="dxa"/>
            <w:vAlign w:val="center"/>
          </w:tcPr>
          <w:p w14:paraId="1D91B8EF" w14:textId="77777777" w:rsidR="0071714B" w:rsidRDefault="0071714B" w:rsidP="00840F6F">
            <w:pPr>
              <w:jc w:val="center"/>
            </w:pPr>
            <w:r>
              <w:t>&lt; .001</w:t>
            </w:r>
          </w:p>
        </w:tc>
        <w:tc>
          <w:tcPr>
            <w:tcW w:w="3360" w:type="dxa"/>
            <w:vAlign w:val="center"/>
          </w:tcPr>
          <w:p w14:paraId="7A706510" w14:textId="77777777" w:rsidR="0071714B" w:rsidRDefault="0071714B" w:rsidP="00840F6F">
            <w:pPr>
              <w:jc w:val="center"/>
            </w:pPr>
            <w:r>
              <w:t>&lt; .001</w:t>
            </w:r>
          </w:p>
        </w:tc>
      </w:tr>
      <w:tr w:rsidR="0071714B" w14:paraId="1E88D88C" w14:textId="77777777" w:rsidTr="00840F6F">
        <w:trPr>
          <w:jc w:val="center"/>
        </w:trPr>
        <w:tc>
          <w:tcPr>
            <w:tcW w:w="3360" w:type="dxa"/>
            <w:vAlign w:val="center"/>
          </w:tcPr>
          <w:p w14:paraId="30D3439D" w14:textId="77777777" w:rsidR="0071714B" w:rsidRDefault="0071714B" w:rsidP="00840F6F">
            <w:pPr>
              <w:jc w:val="center"/>
            </w:pPr>
            <w:r>
              <w:t>Fisher combined p-value</w:t>
            </w:r>
          </w:p>
        </w:tc>
        <w:tc>
          <w:tcPr>
            <w:tcW w:w="3360" w:type="dxa"/>
            <w:vAlign w:val="center"/>
          </w:tcPr>
          <w:p w14:paraId="33D5B8B3" w14:textId="77777777" w:rsidR="0071714B" w:rsidRDefault="0071714B" w:rsidP="00840F6F">
            <w:pPr>
              <w:jc w:val="center"/>
            </w:pPr>
            <w:r>
              <w:t>&lt; .001</w:t>
            </w:r>
          </w:p>
        </w:tc>
        <w:tc>
          <w:tcPr>
            <w:tcW w:w="3360" w:type="dxa"/>
            <w:vAlign w:val="center"/>
          </w:tcPr>
          <w:p w14:paraId="291B7CA0" w14:textId="77777777" w:rsidR="0071714B" w:rsidRDefault="0071714B" w:rsidP="00840F6F">
            <w:pPr>
              <w:jc w:val="center"/>
            </w:pPr>
            <w:r>
              <w:t>&lt; .001</w:t>
            </w:r>
          </w:p>
        </w:tc>
      </w:tr>
      <w:tr w:rsidR="0071714B" w14:paraId="325C55D3" w14:textId="77777777" w:rsidTr="00840F6F">
        <w:trPr>
          <w:jc w:val="center"/>
        </w:trPr>
        <w:tc>
          <w:tcPr>
            <w:tcW w:w="3360" w:type="dxa"/>
            <w:vAlign w:val="center"/>
          </w:tcPr>
          <w:p w14:paraId="02E84536" w14:textId="77777777" w:rsidR="0071714B" w:rsidRDefault="0071714B" w:rsidP="00840F6F">
            <w:pPr>
              <w:jc w:val="center"/>
            </w:pPr>
            <w:r>
              <w:t>Significant outcomes after sensitivity analysis</w:t>
            </w:r>
          </w:p>
        </w:tc>
        <w:tc>
          <w:tcPr>
            <w:tcW w:w="3360" w:type="dxa"/>
            <w:vAlign w:val="center"/>
          </w:tcPr>
          <w:p w14:paraId="23B3CDA2" w14:textId="77777777" w:rsidR="0071714B" w:rsidRDefault="0071714B" w:rsidP="00840F6F">
            <w:pPr>
              <w:jc w:val="center"/>
            </w:pPr>
            <w:r>
              <w:t>22</w:t>
            </w:r>
          </w:p>
        </w:tc>
        <w:tc>
          <w:tcPr>
            <w:tcW w:w="3360" w:type="dxa"/>
            <w:vAlign w:val="center"/>
          </w:tcPr>
          <w:p w14:paraId="43E48F5A" w14:textId="77777777" w:rsidR="0071714B" w:rsidRDefault="0071714B" w:rsidP="00840F6F">
            <w:pPr>
              <w:jc w:val="center"/>
            </w:pPr>
            <w:r>
              <w:t>2</w:t>
            </w:r>
          </w:p>
        </w:tc>
      </w:tr>
    </w:tbl>
    <w:p w14:paraId="1B55493C" w14:textId="77777777" w:rsidR="0071714B" w:rsidRDefault="0071714B" w:rsidP="0071714B"/>
    <w:p w14:paraId="31E74483" w14:textId="77777777" w:rsidR="0071714B" w:rsidRDefault="0071714B" w:rsidP="0071714B">
      <w:pPr>
        <w:jc w:val="center"/>
      </w:pPr>
      <w:r>
        <w:rPr>
          <w:b/>
        </w:rPr>
        <w:t>Table 4. Pooled subgroup synthesis by gait phase.</w:t>
      </w:r>
    </w:p>
    <w:tbl>
      <w:tblPr>
        <w:tblStyle w:val="a5"/>
        <w:tblW w:w="0" w:type="auto"/>
        <w:jc w:val="center"/>
        <w:tblLook w:val="04A0" w:firstRow="1" w:lastRow="0" w:firstColumn="1" w:lastColumn="0" w:noHBand="0" w:noVBand="1"/>
      </w:tblPr>
      <w:tblGrid>
        <w:gridCol w:w="1309"/>
        <w:gridCol w:w="1218"/>
        <w:gridCol w:w="887"/>
        <w:gridCol w:w="1090"/>
        <w:gridCol w:w="982"/>
        <w:gridCol w:w="982"/>
        <w:gridCol w:w="982"/>
        <w:gridCol w:w="1114"/>
        <w:gridCol w:w="1065"/>
      </w:tblGrid>
      <w:tr w:rsidR="0071714B" w14:paraId="1ED28F07" w14:textId="77777777" w:rsidTr="00840F6F">
        <w:trPr>
          <w:jc w:val="center"/>
        </w:trPr>
        <w:tc>
          <w:tcPr>
            <w:tcW w:w="1120" w:type="dxa"/>
            <w:shd w:val="clear" w:color="auto" w:fill="D9EAF7"/>
            <w:vAlign w:val="center"/>
          </w:tcPr>
          <w:p w14:paraId="103C1488" w14:textId="77777777" w:rsidR="0071714B" w:rsidRDefault="0071714B" w:rsidP="00840F6F">
            <w:pPr>
              <w:jc w:val="center"/>
            </w:pPr>
            <w:r>
              <w:t>Dataset</w:t>
            </w:r>
          </w:p>
        </w:tc>
        <w:tc>
          <w:tcPr>
            <w:tcW w:w="1120" w:type="dxa"/>
            <w:shd w:val="clear" w:color="auto" w:fill="D9EAF7"/>
            <w:vAlign w:val="center"/>
          </w:tcPr>
          <w:p w14:paraId="6BEC6F0F" w14:textId="77777777" w:rsidR="0071714B" w:rsidRDefault="0071714B" w:rsidP="00840F6F">
            <w:pPr>
              <w:jc w:val="center"/>
            </w:pPr>
            <w:r>
              <w:t>Phase</w:t>
            </w:r>
          </w:p>
        </w:tc>
        <w:tc>
          <w:tcPr>
            <w:tcW w:w="1120" w:type="dxa"/>
            <w:shd w:val="clear" w:color="auto" w:fill="D9EAF7"/>
            <w:vAlign w:val="center"/>
          </w:tcPr>
          <w:p w14:paraId="686D817E" w14:textId="77777777" w:rsidR="0071714B" w:rsidRDefault="0071714B" w:rsidP="00840F6F">
            <w:pPr>
              <w:jc w:val="center"/>
            </w:pPr>
            <w:r>
              <w:t>k</w:t>
            </w:r>
          </w:p>
        </w:tc>
        <w:tc>
          <w:tcPr>
            <w:tcW w:w="1120" w:type="dxa"/>
            <w:shd w:val="clear" w:color="auto" w:fill="D9EAF7"/>
            <w:vAlign w:val="center"/>
          </w:tcPr>
          <w:p w14:paraId="4C0DA01B" w14:textId="77777777" w:rsidR="0071714B" w:rsidRDefault="0071714B" w:rsidP="00840F6F">
            <w:pPr>
              <w:jc w:val="center"/>
            </w:pPr>
            <w:r>
              <w:t xml:space="preserve">Random-effects </w:t>
            </w:r>
            <w:proofErr w:type="spellStart"/>
            <w:r>
              <w:t>dz</w:t>
            </w:r>
            <w:proofErr w:type="spellEnd"/>
          </w:p>
        </w:tc>
        <w:tc>
          <w:tcPr>
            <w:tcW w:w="1120" w:type="dxa"/>
            <w:shd w:val="clear" w:color="auto" w:fill="D9EAF7"/>
            <w:vAlign w:val="center"/>
          </w:tcPr>
          <w:p w14:paraId="41C403C6" w14:textId="77777777" w:rsidR="0071714B" w:rsidRDefault="0071714B" w:rsidP="00840F6F">
            <w:pPr>
              <w:jc w:val="center"/>
            </w:pPr>
            <w:r>
              <w:t>CI low</w:t>
            </w:r>
          </w:p>
        </w:tc>
        <w:tc>
          <w:tcPr>
            <w:tcW w:w="1120" w:type="dxa"/>
            <w:shd w:val="clear" w:color="auto" w:fill="D9EAF7"/>
            <w:vAlign w:val="center"/>
          </w:tcPr>
          <w:p w14:paraId="17D1A636" w14:textId="77777777" w:rsidR="0071714B" w:rsidRDefault="0071714B" w:rsidP="00840F6F">
            <w:pPr>
              <w:jc w:val="center"/>
            </w:pPr>
            <w:r>
              <w:t>CI high</w:t>
            </w:r>
          </w:p>
        </w:tc>
        <w:tc>
          <w:tcPr>
            <w:tcW w:w="1120" w:type="dxa"/>
            <w:shd w:val="clear" w:color="auto" w:fill="D9EAF7"/>
            <w:vAlign w:val="center"/>
          </w:tcPr>
          <w:p w14:paraId="60E232F1" w14:textId="77777777" w:rsidR="0071714B" w:rsidRDefault="0071714B" w:rsidP="00840F6F">
            <w:pPr>
              <w:jc w:val="center"/>
            </w:pPr>
            <w:r>
              <w:t>I² %</w:t>
            </w:r>
          </w:p>
        </w:tc>
        <w:tc>
          <w:tcPr>
            <w:tcW w:w="1120" w:type="dxa"/>
            <w:shd w:val="clear" w:color="auto" w:fill="D9EAF7"/>
            <w:vAlign w:val="center"/>
          </w:tcPr>
          <w:p w14:paraId="60C932C6" w14:textId="77777777" w:rsidR="0071714B" w:rsidRDefault="0071714B" w:rsidP="00840F6F">
            <w:pPr>
              <w:jc w:val="center"/>
            </w:pPr>
            <w:r>
              <w:t>BH-retained outcomes</w:t>
            </w:r>
          </w:p>
        </w:tc>
        <w:tc>
          <w:tcPr>
            <w:tcW w:w="1120" w:type="dxa"/>
            <w:shd w:val="clear" w:color="auto" w:fill="D9EAF7"/>
            <w:vAlign w:val="center"/>
          </w:tcPr>
          <w:p w14:paraId="21ADAD00" w14:textId="77777777" w:rsidR="0071714B" w:rsidRDefault="0071714B" w:rsidP="00840F6F">
            <w:pPr>
              <w:jc w:val="center"/>
            </w:pPr>
            <w:r>
              <w:t>Median |% change|</w:t>
            </w:r>
          </w:p>
        </w:tc>
      </w:tr>
      <w:tr w:rsidR="0071714B" w14:paraId="2F988916" w14:textId="77777777" w:rsidTr="00840F6F">
        <w:trPr>
          <w:jc w:val="center"/>
        </w:trPr>
        <w:tc>
          <w:tcPr>
            <w:tcW w:w="1120" w:type="dxa"/>
            <w:vAlign w:val="center"/>
          </w:tcPr>
          <w:p w14:paraId="0EC5B199" w14:textId="77777777" w:rsidR="0071714B" w:rsidRDefault="0071714B" w:rsidP="00840F6F">
            <w:pPr>
              <w:jc w:val="center"/>
            </w:pPr>
            <w:r>
              <w:t>Pre–post</w:t>
            </w:r>
          </w:p>
        </w:tc>
        <w:tc>
          <w:tcPr>
            <w:tcW w:w="1120" w:type="dxa"/>
            <w:vAlign w:val="center"/>
          </w:tcPr>
          <w:p w14:paraId="513AFAF2" w14:textId="77777777" w:rsidR="0071714B" w:rsidRDefault="0071714B" w:rsidP="00840F6F">
            <w:pPr>
              <w:jc w:val="center"/>
            </w:pPr>
            <w:r>
              <w:t>Center-of-mass outcomes</w:t>
            </w:r>
          </w:p>
        </w:tc>
        <w:tc>
          <w:tcPr>
            <w:tcW w:w="1120" w:type="dxa"/>
            <w:vAlign w:val="center"/>
          </w:tcPr>
          <w:p w14:paraId="5EB9F0E0" w14:textId="77777777" w:rsidR="0071714B" w:rsidRDefault="0071714B" w:rsidP="00840F6F">
            <w:pPr>
              <w:jc w:val="center"/>
            </w:pPr>
            <w:r>
              <w:t>5</w:t>
            </w:r>
          </w:p>
        </w:tc>
        <w:tc>
          <w:tcPr>
            <w:tcW w:w="1120" w:type="dxa"/>
            <w:vAlign w:val="center"/>
          </w:tcPr>
          <w:p w14:paraId="1E5AAED9" w14:textId="77777777" w:rsidR="0071714B" w:rsidRDefault="0071714B" w:rsidP="00840F6F">
            <w:pPr>
              <w:jc w:val="center"/>
            </w:pPr>
            <w:r>
              <w:t>4.22</w:t>
            </w:r>
          </w:p>
        </w:tc>
        <w:tc>
          <w:tcPr>
            <w:tcW w:w="1120" w:type="dxa"/>
            <w:vAlign w:val="center"/>
          </w:tcPr>
          <w:p w14:paraId="17F27CC6" w14:textId="77777777" w:rsidR="0071714B" w:rsidRDefault="0071714B" w:rsidP="00840F6F">
            <w:pPr>
              <w:jc w:val="center"/>
            </w:pPr>
            <w:r>
              <w:t>1.24</w:t>
            </w:r>
          </w:p>
        </w:tc>
        <w:tc>
          <w:tcPr>
            <w:tcW w:w="1120" w:type="dxa"/>
            <w:vAlign w:val="center"/>
          </w:tcPr>
          <w:p w14:paraId="4CA96569" w14:textId="77777777" w:rsidR="0071714B" w:rsidRDefault="0071714B" w:rsidP="00840F6F">
            <w:pPr>
              <w:jc w:val="center"/>
            </w:pPr>
            <w:r>
              <w:t>7.20</w:t>
            </w:r>
          </w:p>
        </w:tc>
        <w:tc>
          <w:tcPr>
            <w:tcW w:w="1120" w:type="dxa"/>
            <w:vAlign w:val="center"/>
          </w:tcPr>
          <w:p w14:paraId="19A450CD" w14:textId="77777777" w:rsidR="0071714B" w:rsidRDefault="0071714B" w:rsidP="00840F6F">
            <w:pPr>
              <w:jc w:val="center"/>
            </w:pPr>
            <w:r>
              <w:t>77.66</w:t>
            </w:r>
          </w:p>
        </w:tc>
        <w:tc>
          <w:tcPr>
            <w:tcW w:w="1120" w:type="dxa"/>
            <w:vAlign w:val="center"/>
          </w:tcPr>
          <w:p w14:paraId="4FBC9247" w14:textId="77777777" w:rsidR="0071714B" w:rsidRDefault="0071714B" w:rsidP="00840F6F">
            <w:pPr>
              <w:jc w:val="center"/>
            </w:pPr>
            <w:r>
              <w:t>4</w:t>
            </w:r>
          </w:p>
        </w:tc>
        <w:tc>
          <w:tcPr>
            <w:tcW w:w="1120" w:type="dxa"/>
            <w:vAlign w:val="center"/>
          </w:tcPr>
          <w:p w14:paraId="1044846A" w14:textId="77777777" w:rsidR="0071714B" w:rsidRDefault="0071714B" w:rsidP="00840F6F">
            <w:pPr>
              <w:jc w:val="center"/>
            </w:pPr>
            <w:r>
              <w:t>6.38</w:t>
            </w:r>
          </w:p>
        </w:tc>
      </w:tr>
      <w:tr w:rsidR="0071714B" w14:paraId="6865EB1F" w14:textId="77777777" w:rsidTr="00840F6F">
        <w:trPr>
          <w:jc w:val="center"/>
        </w:trPr>
        <w:tc>
          <w:tcPr>
            <w:tcW w:w="1120" w:type="dxa"/>
            <w:vAlign w:val="center"/>
          </w:tcPr>
          <w:p w14:paraId="09CFDBC6" w14:textId="77777777" w:rsidR="0071714B" w:rsidRDefault="0071714B" w:rsidP="00840F6F">
            <w:pPr>
              <w:jc w:val="center"/>
            </w:pPr>
            <w:r>
              <w:t>Pre–post</w:t>
            </w:r>
          </w:p>
        </w:tc>
        <w:tc>
          <w:tcPr>
            <w:tcW w:w="1120" w:type="dxa"/>
            <w:vAlign w:val="center"/>
          </w:tcPr>
          <w:p w14:paraId="062EF90D" w14:textId="77777777" w:rsidR="0071714B" w:rsidRDefault="0071714B" w:rsidP="00840F6F">
            <w:pPr>
              <w:jc w:val="center"/>
            </w:pPr>
            <w:r>
              <w:t>Leading phase</w:t>
            </w:r>
          </w:p>
        </w:tc>
        <w:tc>
          <w:tcPr>
            <w:tcW w:w="1120" w:type="dxa"/>
            <w:vAlign w:val="center"/>
          </w:tcPr>
          <w:p w14:paraId="53150B17" w14:textId="77777777" w:rsidR="0071714B" w:rsidRDefault="0071714B" w:rsidP="00840F6F">
            <w:pPr>
              <w:jc w:val="center"/>
            </w:pPr>
            <w:r>
              <w:t>34</w:t>
            </w:r>
          </w:p>
        </w:tc>
        <w:tc>
          <w:tcPr>
            <w:tcW w:w="1120" w:type="dxa"/>
            <w:vAlign w:val="center"/>
          </w:tcPr>
          <w:p w14:paraId="69574101" w14:textId="77777777" w:rsidR="0071714B" w:rsidRDefault="0071714B" w:rsidP="00840F6F">
            <w:pPr>
              <w:jc w:val="center"/>
            </w:pPr>
            <w:r>
              <w:t>1.98</w:t>
            </w:r>
          </w:p>
        </w:tc>
        <w:tc>
          <w:tcPr>
            <w:tcW w:w="1120" w:type="dxa"/>
            <w:vAlign w:val="center"/>
          </w:tcPr>
          <w:p w14:paraId="5365A06C" w14:textId="77777777" w:rsidR="0071714B" w:rsidRDefault="0071714B" w:rsidP="00840F6F">
            <w:pPr>
              <w:jc w:val="center"/>
            </w:pPr>
            <w:r>
              <w:t>1.46</w:t>
            </w:r>
          </w:p>
        </w:tc>
        <w:tc>
          <w:tcPr>
            <w:tcW w:w="1120" w:type="dxa"/>
            <w:vAlign w:val="center"/>
          </w:tcPr>
          <w:p w14:paraId="7CC84000" w14:textId="77777777" w:rsidR="0071714B" w:rsidRDefault="0071714B" w:rsidP="00840F6F">
            <w:pPr>
              <w:jc w:val="center"/>
            </w:pPr>
            <w:r>
              <w:t>2.49</w:t>
            </w:r>
          </w:p>
        </w:tc>
        <w:tc>
          <w:tcPr>
            <w:tcW w:w="1120" w:type="dxa"/>
            <w:vAlign w:val="center"/>
          </w:tcPr>
          <w:p w14:paraId="294C2801" w14:textId="77777777" w:rsidR="0071714B" w:rsidRDefault="0071714B" w:rsidP="00840F6F">
            <w:pPr>
              <w:jc w:val="center"/>
            </w:pPr>
            <w:r>
              <w:t>58.39</w:t>
            </w:r>
          </w:p>
        </w:tc>
        <w:tc>
          <w:tcPr>
            <w:tcW w:w="1120" w:type="dxa"/>
            <w:vAlign w:val="center"/>
          </w:tcPr>
          <w:p w14:paraId="69A76655" w14:textId="77777777" w:rsidR="0071714B" w:rsidRDefault="0071714B" w:rsidP="00840F6F">
            <w:pPr>
              <w:jc w:val="center"/>
            </w:pPr>
            <w:r>
              <w:t>17</w:t>
            </w:r>
          </w:p>
        </w:tc>
        <w:tc>
          <w:tcPr>
            <w:tcW w:w="1120" w:type="dxa"/>
            <w:vAlign w:val="center"/>
          </w:tcPr>
          <w:p w14:paraId="560DBF04" w14:textId="77777777" w:rsidR="0071714B" w:rsidRDefault="0071714B" w:rsidP="00840F6F">
            <w:pPr>
              <w:jc w:val="center"/>
            </w:pPr>
            <w:r>
              <w:t>97.19</w:t>
            </w:r>
          </w:p>
        </w:tc>
      </w:tr>
      <w:tr w:rsidR="0071714B" w14:paraId="441C1F4D" w14:textId="77777777" w:rsidTr="00840F6F">
        <w:trPr>
          <w:jc w:val="center"/>
        </w:trPr>
        <w:tc>
          <w:tcPr>
            <w:tcW w:w="1120" w:type="dxa"/>
            <w:vAlign w:val="center"/>
          </w:tcPr>
          <w:p w14:paraId="28F9E8F8" w14:textId="77777777" w:rsidR="0071714B" w:rsidRDefault="0071714B" w:rsidP="00840F6F">
            <w:pPr>
              <w:jc w:val="center"/>
            </w:pPr>
            <w:r>
              <w:t>Pre–post</w:t>
            </w:r>
          </w:p>
        </w:tc>
        <w:tc>
          <w:tcPr>
            <w:tcW w:w="1120" w:type="dxa"/>
            <w:vAlign w:val="center"/>
          </w:tcPr>
          <w:p w14:paraId="166B2A5E" w14:textId="77777777" w:rsidR="0071714B" w:rsidRDefault="0071714B" w:rsidP="00840F6F">
            <w:pPr>
              <w:jc w:val="center"/>
            </w:pPr>
            <w:r>
              <w:t>Trailing phase</w:t>
            </w:r>
          </w:p>
        </w:tc>
        <w:tc>
          <w:tcPr>
            <w:tcW w:w="1120" w:type="dxa"/>
            <w:vAlign w:val="center"/>
          </w:tcPr>
          <w:p w14:paraId="28451B70" w14:textId="77777777" w:rsidR="0071714B" w:rsidRDefault="0071714B" w:rsidP="00840F6F">
            <w:pPr>
              <w:jc w:val="center"/>
            </w:pPr>
            <w:r>
              <w:t>34</w:t>
            </w:r>
          </w:p>
        </w:tc>
        <w:tc>
          <w:tcPr>
            <w:tcW w:w="1120" w:type="dxa"/>
            <w:vAlign w:val="center"/>
          </w:tcPr>
          <w:p w14:paraId="7E3A4F81" w14:textId="77777777" w:rsidR="0071714B" w:rsidRDefault="0071714B" w:rsidP="00840F6F">
            <w:pPr>
              <w:jc w:val="center"/>
            </w:pPr>
            <w:r>
              <w:t>1.93</w:t>
            </w:r>
          </w:p>
        </w:tc>
        <w:tc>
          <w:tcPr>
            <w:tcW w:w="1120" w:type="dxa"/>
            <w:vAlign w:val="center"/>
          </w:tcPr>
          <w:p w14:paraId="1E09146E" w14:textId="77777777" w:rsidR="0071714B" w:rsidRDefault="0071714B" w:rsidP="00840F6F">
            <w:pPr>
              <w:jc w:val="center"/>
            </w:pPr>
            <w:r>
              <w:t>1.39</w:t>
            </w:r>
          </w:p>
        </w:tc>
        <w:tc>
          <w:tcPr>
            <w:tcW w:w="1120" w:type="dxa"/>
            <w:vAlign w:val="center"/>
          </w:tcPr>
          <w:p w14:paraId="5D619082" w14:textId="77777777" w:rsidR="0071714B" w:rsidRDefault="0071714B" w:rsidP="00840F6F">
            <w:pPr>
              <w:jc w:val="center"/>
            </w:pPr>
            <w:r>
              <w:t>2.47</w:t>
            </w:r>
          </w:p>
        </w:tc>
        <w:tc>
          <w:tcPr>
            <w:tcW w:w="1120" w:type="dxa"/>
            <w:vAlign w:val="center"/>
          </w:tcPr>
          <w:p w14:paraId="02F1AF2F" w14:textId="77777777" w:rsidR="0071714B" w:rsidRDefault="0071714B" w:rsidP="00840F6F">
            <w:pPr>
              <w:jc w:val="center"/>
            </w:pPr>
            <w:r>
              <w:t>62.58</w:t>
            </w:r>
          </w:p>
        </w:tc>
        <w:tc>
          <w:tcPr>
            <w:tcW w:w="1120" w:type="dxa"/>
            <w:vAlign w:val="center"/>
          </w:tcPr>
          <w:p w14:paraId="0CDA5D64" w14:textId="77777777" w:rsidR="0071714B" w:rsidRDefault="0071714B" w:rsidP="00840F6F">
            <w:pPr>
              <w:jc w:val="center"/>
            </w:pPr>
            <w:r>
              <w:t>17</w:t>
            </w:r>
          </w:p>
        </w:tc>
        <w:tc>
          <w:tcPr>
            <w:tcW w:w="1120" w:type="dxa"/>
            <w:vAlign w:val="center"/>
          </w:tcPr>
          <w:p w14:paraId="303D8B77" w14:textId="77777777" w:rsidR="0071714B" w:rsidRDefault="0071714B" w:rsidP="00840F6F">
            <w:pPr>
              <w:jc w:val="center"/>
            </w:pPr>
            <w:r>
              <w:t>87.32</w:t>
            </w:r>
          </w:p>
        </w:tc>
      </w:tr>
      <w:tr w:rsidR="0071714B" w14:paraId="58980391" w14:textId="77777777" w:rsidTr="00840F6F">
        <w:trPr>
          <w:jc w:val="center"/>
        </w:trPr>
        <w:tc>
          <w:tcPr>
            <w:tcW w:w="1120" w:type="dxa"/>
            <w:vAlign w:val="center"/>
          </w:tcPr>
          <w:p w14:paraId="05E997B8" w14:textId="77777777" w:rsidR="0071714B" w:rsidRDefault="0071714B" w:rsidP="00840F6F">
            <w:pPr>
              <w:jc w:val="center"/>
            </w:pPr>
            <w:r>
              <w:t>Asymmetry-gap</w:t>
            </w:r>
          </w:p>
        </w:tc>
        <w:tc>
          <w:tcPr>
            <w:tcW w:w="1120" w:type="dxa"/>
            <w:vAlign w:val="center"/>
          </w:tcPr>
          <w:p w14:paraId="6D6E1541" w14:textId="77777777" w:rsidR="0071714B" w:rsidRDefault="0071714B" w:rsidP="00840F6F">
            <w:pPr>
              <w:jc w:val="center"/>
            </w:pPr>
            <w:r>
              <w:t>Center-of-mass asymmetry</w:t>
            </w:r>
          </w:p>
        </w:tc>
        <w:tc>
          <w:tcPr>
            <w:tcW w:w="1120" w:type="dxa"/>
            <w:vAlign w:val="center"/>
          </w:tcPr>
          <w:p w14:paraId="33324D49" w14:textId="77777777" w:rsidR="0071714B" w:rsidRDefault="0071714B" w:rsidP="00840F6F">
            <w:pPr>
              <w:jc w:val="center"/>
            </w:pPr>
            <w:r>
              <w:t>2</w:t>
            </w:r>
          </w:p>
        </w:tc>
        <w:tc>
          <w:tcPr>
            <w:tcW w:w="1120" w:type="dxa"/>
            <w:vAlign w:val="center"/>
          </w:tcPr>
          <w:p w14:paraId="2BCBA7F0" w14:textId="77777777" w:rsidR="0071714B" w:rsidRDefault="0071714B" w:rsidP="00840F6F">
            <w:pPr>
              <w:jc w:val="center"/>
            </w:pPr>
            <w:r>
              <w:t>2.18</w:t>
            </w:r>
          </w:p>
        </w:tc>
        <w:tc>
          <w:tcPr>
            <w:tcW w:w="1120" w:type="dxa"/>
            <w:vAlign w:val="center"/>
          </w:tcPr>
          <w:p w14:paraId="3EF6616D" w14:textId="77777777" w:rsidR="0071714B" w:rsidRDefault="0071714B" w:rsidP="00840F6F">
            <w:pPr>
              <w:jc w:val="center"/>
            </w:pPr>
            <w:r>
              <w:t>-1.37</w:t>
            </w:r>
          </w:p>
        </w:tc>
        <w:tc>
          <w:tcPr>
            <w:tcW w:w="1120" w:type="dxa"/>
            <w:vAlign w:val="center"/>
          </w:tcPr>
          <w:p w14:paraId="0D047821" w14:textId="77777777" w:rsidR="0071714B" w:rsidRDefault="0071714B" w:rsidP="00840F6F">
            <w:pPr>
              <w:jc w:val="center"/>
            </w:pPr>
            <w:r>
              <w:t>5.73</w:t>
            </w:r>
          </w:p>
        </w:tc>
        <w:tc>
          <w:tcPr>
            <w:tcW w:w="1120" w:type="dxa"/>
            <w:vAlign w:val="center"/>
          </w:tcPr>
          <w:p w14:paraId="7F81422E" w14:textId="77777777" w:rsidR="0071714B" w:rsidRDefault="0071714B" w:rsidP="00840F6F">
            <w:pPr>
              <w:jc w:val="center"/>
            </w:pPr>
            <w:r>
              <w:t>78.55</w:t>
            </w:r>
          </w:p>
        </w:tc>
        <w:tc>
          <w:tcPr>
            <w:tcW w:w="1120" w:type="dxa"/>
            <w:vAlign w:val="center"/>
          </w:tcPr>
          <w:p w14:paraId="1CD4E7C2" w14:textId="77777777" w:rsidR="0071714B" w:rsidRDefault="0071714B" w:rsidP="00840F6F">
            <w:pPr>
              <w:jc w:val="center"/>
            </w:pPr>
            <w:r>
              <w:t>1</w:t>
            </w:r>
          </w:p>
        </w:tc>
        <w:tc>
          <w:tcPr>
            <w:tcW w:w="1120" w:type="dxa"/>
            <w:vAlign w:val="center"/>
          </w:tcPr>
          <w:p w14:paraId="2ECBB97F" w14:textId="77777777" w:rsidR="0071714B" w:rsidRDefault="0071714B" w:rsidP="00840F6F">
            <w:pPr>
              <w:jc w:val="center"/>
            </w:pPr>
            <w:r>
              <w:t>25.17</w:t>
            </w:r>
          </w:p>
        </w:tc>
      </w:tr>
      <w:tr w:rsidR="0071714B" w14:paraId="48E99931" w14:textId="77777777" w:rsidTr="00840F6F">
        <w:trPr>
          <w:jc w:val="center"/>
        </w:trPr>
        <w:tc>
          <w:tcPr>
            <w:tcW w:w="1120" w:type="dxa"/>
            <w:vAlign w:val="center"/>
          </w:tcPr>
          <w:p w14:paraId="5ACDC7FC" w14:textId="77777777" w:rsidR="0071714B" w:rsidRDefault="0071714B" w:rsidP="00840F6F">
            <w:pPr>
              <w:jc w:val="center"/>
            </w:pPr>
            <w:r>
              <w:t>Asymmetry-gap</w:t>
            </w:r>
          </w:p>
        </w:tc>
        <w:tc>
          <w:tcPr>
            <w:tcW w:w="1120" w:type="dxa"/>
            <w:vAlign w:val="center"/>
          </w:tcPr>
          <w:p w14:paraId="237E077C" w14:textId="77777777" w:rsidR="0071714B" w:rsidRDefault="0071714B" w:rsidP="00840F6F">
            <w:pPr>
              <w:jc w:val="center"/>
            </w:pPr>
            <w:r>
              <w:t>Leading phase</w:t>
            </w:r>
          </w:p>
        </w:tc>
        <w:tc>
          <w:tcPr>
            <w:tcW w:w="1120" w:type="dxa"/>
            <w:vAlign w:val="center"/>
          </w:tcPr>
          <w:p w14:paraId="34F1D9F8" w14:textId="77777777" w:rsidR="0071714B" w:rsidRDefault="0071714B" w:rsidP="00840F6F">
            <w:pPr>
              <w:jc w:val="center"/>
            </w:pPr>
            <w:r>
              <w:t>15</w:t>
            </w:r>
          </w:p>
        </w:tc>
        <w:tc>
          <w:tcPr>
            <w:tcW w:w="1120" w:type="dxa"/>
            <w:vAlign w:val="center"/>
          </w:tcPr>
          <w:p w14:paraId="3D43C23B" w14:textId="77777777" w:rsidR="0071714B" w:rsidRDefault="0071714B" w:rsidP="00840F6F">
            <w:pPr>
              <w:jc w:val="center"/>
            </w:pPr>
            <w:r>
              <w:t>0.431</w:t>
            </w:r>
          </w:p>
        </w:tc>
        <w:tc>
          <w:tcPr>
            <w:tcW w:w="1120" w:type="dxa"/>
            <w:vAlign w:val="center"/>
          </w:tcPr>
          <w:p w14:paraId="6B7F21AE" w14:textId="77777777" w:rsidR="0071714B" w:rsidRDefault="0071714B" w:rsidP="00840F6F">
            <w:pPr>
              <w:jc w:val="center"/>
            </w:pPr>
            <w:r>
              <w:t>0.152</w:t>
            </w:r>
          </w:p>
        </w:tc>
        <w:tc>
          <w:tcPr>
            <w:tcW w:w="1120" w:type="dxa"/>
            <w:vAlign w:val="center"/>
          </w:tcPr>
          <w:p w14:paraId="073BFEA9" w14:textId="77777777" w:rsidR="0071714B" w:rsidRDefault="0071714B" w:rsidP="00840F6F">
            <w:pPr>
              <w:jc w:val="center"/>
            </w:pPr>
            <w:r>
              <w:t>0.711</w:t>
            </w:r>
          </w:p>
        </w:tc>
        <w:tc>
          <w:tcPr>
            <w:tcW w:w="1120" w:type="dxa"/>
            <w:vAlign w:val="center"/>
          </w:tcPr>
          <w:p w14:paraId="23A542FB" w14:textId="77777777" w:rsidR="0071714B" w:rsidRDefault="0071714B" w:rsidP="00840F6F">
            <w:pPr>
              <w:jc w:val="center"/>
            </w:pPr>
            <w:r>
              <w:t>0.00</w:t>
            </w:r>
          </w:p>
        </w:tc>
        <w:tc>
          <w:tcPr>
            <w:tcW w:w="1120" w:type="dxa"/>
            <w:vAlign w:val="center"/>
          </w:tcPr>
          <w:p w14:paraId="160769C2" w14:textId="77777777" w:rsidR="0071714B" w:rsidRDefault="0071714B" w:rsidP="00840F6F">
            <w:pPr>
              <w:jc w:val="center"/>
            </w:pPr>
            <w:r>
              <w:t>1</w:t>
            </w:r>
          </w:p>
        </w:tc>
        <w:tc>
          <w:tcPr>
            <w:tcW w:w="1120" w:type="dxa"/>
            <w:vAlign w:val="center"/>
          </w:tcPr>
          <w:p w14:paraId="3570F166" w14:textId="77777777" w:rsidR="0071714B" w:rsidRDefault="0071714B" w:rsidP="00840F6F">
            <w:pPr>
              <w:jc w:val="center"/>
            </w:pPr>
            <w:r>
              <w:t>85.51</w:t>
            </w:r>
          </w:p>
        </w:tc>
      </w:tr>
      <w:tr w:rsidR="0071714B" w14:paraId="5A3D164F" w14:textId="77777777" w:rsidTr="00840F6F">
        <w:trPr>
          <w:jc w:val="center"/>
        </w:trPr>
        <w:tc>
          <w:tcPr>
            <w:tcW w:w="1120" w:type="dxa"/>
            <w:vAlign w:val="center"/>
          </w:tcPr>
          <w:p w14:paraId="44A6BD0D" w14:textId="77777777" w:rsidR="0071714B" w:rsidRDefault="0071714B" w:rsidP="00840F6F">
            <w:pPr>
              <w:jc w:val="center"/>
            </w:pPr>
            <w:r>
              <w:t>Asymmetry-gap</w:t>
            </w:r>
          </w:p>
        </w:tc>
        <w:tc>
          <w:tcPr>
            <w:tcW w:w="1120" w:type="dxa"/>
            <w:vAlign w:val="center"/>
          </w:tcPr>
          <w:p w14:paraId="4BAF63CE" w14:textId="77777777" w:rsidR="0071714B" w:rsidRDefault="0071714B" w:rsidP="00840F6F">
            <w:pPr>
              <w:jc w:val="center"/>
            </w:pPr>
            <w:r>
              <w:t>Trailing phase</w:t>
            </w:r>
          </w:p>
        </w:tc>
        <w:tc>
          <w:tcPr>
            <w:tcW w:w="1120" w:type="dxa"/>
            <w:vAlign w:val="center"/>
          </w:tcPr>
          <w:p w14:paraId="2294A5A3" w14:textId="77777777" w:rsidR="0071714B" w:rsidRDefault="0071714B" w:rsidP="00840F6F">
            <w:pPr>
              <w:jc w:val="center"/>
            </w:pPr>
            <w:r>
              <w:t>15</w:t>
            </w:r>
          </w:p>
        </w:tc>
        <w:tc>
          <w:tcPr>
            <w:tcW w:w="1120" w:type="dxa"/>
            <w:vAlign w:val="center"/>
          </w:tcPr>
          <w:p w14:paraId="3BA322DA" w14:textId="77777777" w:rsidR="0071714B" w:rsidRDefault="0071714B" w:rsidP="00840F6F">
            <w:pPr>
              <w:jc w:val="center"/>
            </w:pPr>
            <w:r>
              <w:t>0.803</w:t>
            </w:r>
          </w:p>
        </w:tc>
        <w:tc>
          <w:tcPr>
            <w:tcW w:w="1120" w:type="dxa"/>
            <w:vAlign w:val="center"/>
          </w:tcPr>
          <w:p w14:paraId="7C7CC75B" w14:textId="77777777" w:rsidR="0071714B" w:rsidRDefault="0071714B" w:rsidP="00840F6F">
            <w:pPr>
              <w:jc w:val="center"/>
            </w:pPr>
            <w:r>
              <w:t>0.391</w:t>
            </w:r>
          </w:p>
        </w:tc>
        <w:tc>
          <w:tcPr>
            <w:tcW w:w="1120" w:type="dxa"/>
            <w:vAlign w:val="center"/>
          </w:tcPr>
          <w:p w14:paraId="59F8D6CF" w14:textId="77777777" w:rsidR="0071714B" w:rsidRDefault="0071714B" w:rsidP="00840F6F">
            <w:pPr>
              <w:jc w:val="center"/>
            </w:pPr>
            <w:r>
              <w:t>1.21</w:t>
            </w:r>
          </w:p>
        </w:tc>
        <w:tc>
          <w:tcPr>
            <w:tcW w:w="1120" w:type="dxa"/>
            <w:vAlign w:val="center"/>
          </w:tcPr>
          <w:p w14:paraId="3A559AA4" w14:textId="77777777" w:rsidR="0071714B" w:rsidRDefault="0071714B" w:rsidP="00840F6F">
            <w:pPr>
              <w:jc w:val="center"/>
            </w:pPr>
            <w:r>
              <w:t>36.80</w:t>
            </w:r>
          </w:p>
        </w:tc>
        <w:tc>
          <w:tcPr>
            <w:tcW w:w="1120" w:type="dxa"/>
            <w:vAlign w:val="center"/>
          </w:tcPr>
          <w:p w14:paraId="011A5E72" w14:textId="77777777" w:rsidR="0071714B" w:rsidRDefault="0071714B" w:rsidP="00840F6F">
            <w:pPr>
              <w:jc w:val="center"/>
            </w:pPr>
            <w:r>
              <w:t>3</w:t>
            </w:r>
          </w:p>
        </w:tc>
        <w:tc>
          <w:tcPr>
            <w:tcW w:w="1120" w:type="dxa"/>
            <w:vAlign w:val="center"/>
          </w:tcPr>
          <w:p w14:paraId="6BA5FF39" w14:textId="77777777" w:rsidR="0071714B" w:rsidRDefault="0071714B" w:rsidP="00840F6F">
            <w:pPr>
              <w:jc w:val="center"/>
            </w:pPr>
            <w:r>
              <w:t>88.27</w:t>
            </w:r>
          </w:p>
        </w:tc>
      </w:tr>
    </w:tbl>
    <w:p w14:paraId="748DA997" w14:textId="77777777" w:rsidR="0071714B" w:rsidRDefault="0071714B" w:rsidP="0071714B">
      <w:pPr>
        <w:spacing w:after="120"/>
      </w:pPr>
    </w:p>
    <w:p w14:paraId="79AFFE56" w14:textId="77777777" w:rsidR="0071714B" w:rsidRDefault="0071714B" w:rsidP="0071714B">
      <w:pPr>
        <w:spacing w:after="120"/>
        <w:jc w:val="both"/>
      </w:pPr>
      <w:r>
        <w:t>The selected outcomes showed a consistent improvement pattern across key direct double-support measures. Double-support time associated with the trunk during the leading phase decreased by approximately 81.3%, with exact significance retained after multiplicity correction. Affected-knee angular velocity and angular acceleration in the leading phase also showed pronounced reductions with very large standardized effects. Similarly, affected-ankle angular velocity in the trailing phase showed one of the strongest effects in the entire analysis, and time linked to vertical center-of-mass displacement also remained highly robust after correction.</w:t>
      </w:r>
    </w:p>
    <w:p w14:paraId="6FBD2C70" w14:textId="77777777" w:rsidR="0071714B" w:rsidRDefault="0071714B" w:rsidP="0071714B">
      <w:pPr>
        <w:spacing w:after="120"/>
        <w:jc w:val="both"/>
      </w:pPr>
      <w:r>
        <w:t>The asymmetry results were more selective. The most prominent finding was the marked reduction in the inter-limb ankle horizontal-displacement gap during the leading phase, which emerged as one of the strongest asymmetry outcomes. Other asymmetry-gap measures, including selected elbow, thigh, and knee variables, also suggested improvement, but the pattern was less generalized than that observed in direct pre–post double-support outcomes.</w:t>
      </w:r>
    </w:p>
    <w:p w14:paraId="475EC6FD" w14:textId="77777777" w:rsidR="0071714B" w:rsidRDefault="0071714B" w:rsidP="0071714B">
      <w:pPr>
        <w:spacing w:after="120"/>
        <w:jc w:val="both"/>
      </w:pPr>
      <w:r>
        <w:t>The strengthened statistical summary further clarified the relative robustness of the findings. Pre–post outcomes retained a substantial core of significant results under BH-FDR, Holm, and Bonferroni correction, while asymmetry-gap outcomes contracted more sharply under stricter criteria. Directional consistency testing and Fisher combined probability testing indicated that the overall evidence pattern was non-random, even though the most stable signal was clearly concentrated in the direct double-support outcomes rather than in the full set of asymmetry measures.</w:t>
      </w:r>
    </w:p>
    <w:p w14:paraId="1A04ACF5" w14:textId="77777777" w:rsidR="0071714B" w:rsidRDefault="0071714B" w:rsidP="0071714B">
      <w:pPr>
        <w:spacing w:after="120"/>
        <w:jc w:val="both"/>
        <w:rPr>
          <w:rtl/>
        </w:rPr>
      </w:pPr>
      <w:r>
        <w:t>Subgroup synthesis by gait phase showed relatively strong pooled effects for both leading and trailing pre–post phases, whereas the trailing phase was more responsive than the leading phase in the asymmetry analysis. This suggests that the program may have influenced transitional loading and propulsion-related mechanics before producing a broader restoration of full inter-limb symmetry.</w:t>
      </w:r>
    </w:p>
    <w:p w14:paraId="406BECB3" w14:textId="77777777" w:rsidR="0071714B" w:rsidRDefault="0071714B" w:rsidP="0071714B">
      <w:pPr>
        <w:spacing w:after="120"/>
        <w:jc w:val="both"/>
      </w:pPr>
      <w:r>
        <w:t xml:space="preserve">The analytical figures presented below further reinforce the main findings by demonstrating that the strongest and most stable improvements were concentrated in the direct double-support outcomes, as illustrated in </w:t>
      </w:r>
      <w:r>
        <w:rPr>
          <w:rStyle w:val="ac"/>
        </w:rPr>
        <w:t>Clinical and Statistical Profile of the Most Relevant Gait Outcomes</w:t>
      </w:r>
      <w:r>
        <w:t xml:space="preserve"> and </w:t>
      </w:r>
      <w:r>
        <w:rPr>
          <w:rStyle w:val="ac"/>
        </w:rPr>
        <w:t xml:space="preserve">Global Evidence Structure </w:t>
      </w:r>
      <w:r>
        <w:rPr>
          <w:rStyle w:val="ac"/>
        </w:rPr>
        <w:lastRenderedPageBreak/>
        <w:t>and Robustness of the Analytical Results</w:t>
      </w:r>
      <w:r>
        <w:t xml:space="preserve">. These improvements were particularly evident in trunk timing, selected affected-knee variables, affected-ankle angular velocity, and center-of-mass timing. In contrast, asymmetry-gap outcomes displayed a more selective pattern of change, as shown in </w:t>
      </w:r>
      <w:r>
        <w:rPr>
          <w:rStyle w:val="ac"/>
        </w:rPr>
        <w:t>Regional, Phase-Based, and Asymmetry-Related Synthesis of Change</w:t>
      </w:r>
      <w:r>
        <w:t>, where the inter-limb ankle horizontal-displacement gap emerged as the clearest indicator of improvement. Overall, the visual and statistical evidence shown in the analytical figures below supports a broad effect of the program on direct double-support control, alongside a more limited and selective effect on inter-limb asymmetry.</w:t>
      </w:r>
    </w:p>
    <w:p w14:paraId="076463A0" w14:textId="77777777" w:rsidR="0071714B" w:rsidRDefault="0071714B" w:rsidP="0071714B">
      <w:pPr>
        <w:spacing w:after="120"/>
        <w:jc w:val="both"/>
        <w:rPr>
          <w:rtl/>
        </w:rPr>
      </w:pPr>
    </w:p>
    <w:p w14:paraId="314EA760" w14:textId="77777777" w:rsidR="0071714B" w:rsidRDefault="0071714B" w:rsidP="0071714B">
      <w:pPr>
        <w:spacing w:after="120"/>
        <w:jc w:val="both"/>
        <w:rPr>
          <w:noProof/>
        </w:rPr>
      </w:pPr>
      <w:r>
        <w:rPr>
          <w:noProof/>
        </w:rPr>
        <w:drawing>
          <wp:inline distT="0" distB="0" distL="0" distR="0" wp14:anchorId="3D831AFA" wp14:editId="69AEABCE">
            <wp:extent cx="6398895" cy="4387850"/>
            <wp:effectExtent l="0" t="0" r="190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15413" cy="4399177"/>
                    </a:xfrm>
                    <a:prstGeom prst="rect">
                      <a:avLst/>
                    </a:prstGeom>
                    <a:noFill/>
                    <a:ln>
                      <a:noFill/>
                    </a:ln>
                  </pic:spPr>
                </pic:pic>
              </a:graphicData>
            </a:graphic>
          </wp:inline>
        </w:drawing>
      </w:r>
    </w:p>
    <w:p w14:paraId="3177D4D5" w14:textId="77777777" w:rsidR="0071714B" w:rsidRDefault="0071714B" w:rsidP="0071714B">
      <w:pPr>
        <w:rPr>
          <w:noProof/>
          <w:rtl/>
        </w:rPr>
      </w:pPr>
    </w:p>
    <w:p w14:paraId="5D2CC9BE" w14:textId="77777777" w:rsidR="0071714B" w:rsidRDefault="0071714B" w:rsidP="0071714B">
      <w:pPr>
        <w:rPr>
          <w:noProof/>
          <w:rtl/>
        </w:rPr>
      </w:pPr>
    </w:p>
    <w:p w14:paraId="1A445A1D" w14:textId="77777777" w:rsidR="0071714B" w:rsidRPr="00582E49" w:rsidRDefault="0071714B" w:rsidP="0071714B">
      <w:pPr>
        <w:tabs>
          <w:tab w:val="left" w:pos="1288"/>
        </w:tabs>
        <w:rPr>
          <w:b/>
          <w:bCs/>
        </w:rPr>
      </w:pPr>
      <w:r w:rsidRPr="00582E49">
        <w:rPr>
          <w:b/>
          <w:bCs/>
        </w:rPr>
        <w:t>Clinical and Statistical Profile of the Most Relevant Gait Outcomes</w:t>
      </w:r>
    </w:p>
    <w:p w14:paraId="4B41C714" w14:textId="77777777" w:rsidR="0071714B" w:rsidRPr="00582E49" w:rsidRDefault="0071714B" w:rsidP="0071714B">
      <w:pPr>
        <w:numPr>
          <w:ilvl w:val="0"/>
          <w:numId w:val="34"/>
        </w:numPr>
        <w:tabs>
          <w:tab w:val="left" w:pos="1288"/>
        </w:tabs>
        <w:spacing w:after="200" w:line="240" w:lineRule="auto"/>
      </w:pPr>
      <w:r w:rsidRPr="00582E49">
        <w:rPr>
          <w:b/>
          <w:bCs/>
        </w:rPr>
        <w:t>A:</w:t>
      </w:r>
      <w:r w:rsidRPr="00582E49">
        <w:t xml:space="preserve"> Shows the main changes in trunk and affected-limb outcomes with confidence intervals, indicating that several variables improved clearly after the program. </w:t>
      </w:r>
    </w:p>
    <w:p w14:paraId="357F1B1D" w14:textId="77777777" w:rsidR="0071714B" w:rsidRPr="00582E49" w:rsidRDefault="0071714B" w:rsidP="0071714B">
      <w:pPr>
        <w:numPr>
          <w:ilvl w:val="0"/>
          <w:numId w:val="34"/>
        </w:numPr>
        <w:tabs>
          <w:tab w:val="left" w:pos="1288"/>
        </w:tabs>
        <w:spacing w:after="200" w:line="240" w:lineRule="auto"/>
      </w:pPr>
      <w:r w:rsidRPr="00582E49">
        <w:rPr>
          <w:b/>
          <w:bCs/>
        </w:rPr>
        <w:t>B:</w:t>
      </w:r>
      <w:r w:rsidRPr="00582E49">
        <w:t xml:space="preserve"> Presents the direct pre-post comparison for the most relevant clinical outcomes, making the direction of change easy to interpret. </w:t>
      </w:r>
    </w:p>
    <w:p w14:paraId="684000FF" w14:textId="77777777" w:rsidR="0071714B" w:rsidRPr="00582E49" w:rsidRDefault="0071714B" w:rsidP="0071714B">
      <w:pPr>
        <w:numPr>
          <w:ilvl w:val="0"/>
          <w:numId w:val="34"/>
        </w:numPr>
        <w:tabs>
          <w:tab w:val="left" w:pos="1288"/>
        </w:tabs>
        <w:spacing w:after="200" w:line="240" w:lineRule="auto"/>
      </w:pPr>
      <w:r w:rsidRPr="00582E49">
        <w:rPr>
          <w:b/>
          <w:bCs/>
        </w:rPr>
        <w:t>C:</w:t>
      </w:r>
      <w:r w:rsidRPr="00582E49">
        <w:t xml:space="preserve"> Ranks the strongest pre-post outcomes according to adjusted statistical evidence, showing that the most robust findings were concentrated in specific variables. </w:t>
      </w:r>
    </w:p>
    <w:p w14:paraId="7A733231" w14:textId="77777777" w:rsidR="0071714B" w:rsidRPr="00582E49" w:rsidRDefault="0071714B" w:rsidP="0071714B">
      <w:pPr>
        <w:numPr>
          <w:ilvl w:val="0"/>
          <w:numId w:val="34"/>
        </w:numPr>
        <w:tabs>
          <w:tab w:val="left" w:pos="1288"/>
        </w:tabs>
        <w:spacing w:after="200" w:line="240" w:lineRule="auto"/>
      </w:pPr>
      <w:r>
        <w:rPr>
          <w:noProof/>
        </w:rPr>
        <w:lastRenderedPageBreak/>
        <w:drawing>
          <wp:anchor distT="0" distB="0" distL="114300" distR="114300" simplePos="0" relativeHeight="251660288" behindDoc="0" locked="0" layoutInCell="1" allowOverlap="1" wp14:anchorId="6D01E682" wp14:editId="7CF4FFE9">
            <wp:simplePos x="0" y="0"/>
            <wp:positionH relativeFrom="column">
              <wp:posOffset>1905</wp:posOffset>
            </wp:positionH>
            <wp:positionV relativeFrom="paragraph">
              <wp:posOffset>477520</wp:posOffset>
            </wp:positionV>
            <wp:extent cx="6457315" cy="345059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57315" cy="3450590"/>
                    </a:xfrm>
                    <a:prstGeom prst="rect">
                      <a:avLst/>
                    </a:prstGeom>
                    <a:noFill/>
                    <a:ln>
                      <a:noFill/>
                    </a:ln>
                  </pic:spPr>
                </pic:pic>
              </a:graphicData>
            </a:graphic>
            <wp14:sizeRelV relativeFrom="margin">
              <wp14:pctHeight>0</wp14:pctHeight>
            </wp14:sizeRelV>
          </wp:anchor>
        </w:drawing>
      </w:r>
      <w:r w:rsidRPr="00582E49">
        <w:rPr>
          <w:b/>
          <w:bCs/>
        </w:rPr>
        <w:t>D:</w:t>
      </w:r>
      <w:r w:rsidRPr="00582E49">
        <w:t xml:space="preserve"> Summarizes the top outcomes using a composite evidence score that combines statistical strength and effect magnitude.</w:t>
      </w:r>
    </w:p>
    <w:p w14:paraId="30596FCC" w14:textId="77777777" w:rsidR="0071714B" w:rsidRDefault="0071714B" w:rsidP="0071714B">
      <w:pPr>
        <w:spacing w:after="120"/>
        <w:jc w:val="both"/>
        <w:rPr>
          <w:noProof/>
        </w:rPr>
      </w:pPr>
    </w:p>
    <w:p w14:paraId="7222B175" w14:textId="77777777" w:rsidR="0071714B" w:rsidRPr="00095C14" w:rsidRDefault="0071714B" w:rsidP="0071714B">
      <w:pPr>
        <w:pStyle w:val="2"/>
        <w:rPr>
          <w:rFonts w:ascii="Times New Roman" w:eastAsia="Times New Roman" w:hAnsi="Times New Roman" w:cs="Times New Roman"/>
          <w:color w:val="auto"/>
          <w:sz w:val="24"/>
          <w:szCs w:val="24"/>
        </w:rPr>
      </w:pPr>
      <w:r w:rsidRPr="00095C14">
        <w:rPr>
          <w:rFonts w:ascii="Times New Roman" w:eastAsia="Times New Roman" w:hAnsi="Times New Roman" w:cs="Times New Roman"/>
          <w:color w:val="auto"/>
          <w:sz w:val="24"/>
          <w:szCs w:val="24"/>
        </w:rPr>
        <w:t>Global Evidence Structure and Robustness of the Analytical Results</w:t>
      </w:r>
    </w:p>
    <w:p w14:paraId="37FED93B" w14:textId="77777777" w:rsidR="0071714B" w:rsidRPr="00095C14" w:rsidRDefault="0071714B" w:rsidP="0071714B">
      <w:pPr>
        <w:numPr>
          <w:ilvl w:val="0"/>
          <w:numId w:val="35"/>
        </w:numPr>
        <w:spacing w:before="100" w:beforeAutospacing="1" w:after="100" w:afterAutospacing="1" w:line="240" w:lineRule="auto"/>
        <w:rPr>
          <w:rFonts w:cs="Times New Roman"/>
        </w:rPr>
      </w:pPr>
      <w:r w:rsidRPr="00095C14">
        <w:rPr>
          <w:rFonts w:cs="Times New Roman"/>
          <w:b/>
          <w:bCs/>
        </w:rPr>
        <w:t>A:</w:t>
      </w:r>
      <w:r w:rsidRPr="00095C14">
        <w:rPr>
          <w:rFonts w:cs="Times New Roman"/>
        </w:rPr>
        <w:t xml:space="preserve"> Displays an evidence map across all pre-post outcomes, showing that effect strength was not equally distributed across all variables. </w:t>
      </w:r>
    </w:p>
    <w:p w14:paraId="46E06C7F" w14:textId="77777777" w:rsidR="0071714B" w:rsidRPr="00095C14" w:rsidRDefault="0071714B" w:rsidP="0071714B">
      <w:pPr>
        <w:numPr>
          <w:ilvl w:val="0"/>
          <w:numId w:val="35"/>
        </w:numPr>
        <w:spacing w:before="100" w:beforeAutospacing="1" w:after="100" w:afterAutospacing="1" w:line="240" w:lineRule="auto"/>
        <w:rPr>
          <w:rFonts w:cs="Times New Roman"/>
        </w:rPr>
      </w:pPr>
      <w:r w:rsidRPr="00095C14">
        <w:rPr>
          <w:rFonts w:cs="Times New Roman"/>
          <w:b/>
          <w:bCs/>
        </w:rPr>
        <w:t>B:</w:t>
      </w:r>
      <w:r w:rsidRPr="00095C14">
        <w:rPr>
          <w:rFonts w:cs="Times New Roman"/>
        </w:rPr>
        <w:t xml:space="preserve"> Combines percent change with statistical strength, highlighting the outcomes that showed both large change and strong evidence. </w:t>
      </w:r>
    </w:p>
    <w:p w14:paraId="2AAF2997" w14:textId="77777777" w:rsidR="0071714B" w:rsidRPr="00095C14" w:rsidRDefault="0071714B" w:rsidP="0071714B">
      <w:pPr>
        <w:numPr>
          <w:ilvl w:val="0"/>
          <w:numId w:val="35"/>
        </w:numPr>
        <w:spacing w:before="100" w:beforeAutospacing="1" w:after="100" w:afterAutospacing="1" w:line="240" w:lineRule="auto"/>
        <w:rPr>
          <w:rFonts w:cs="Times New Roman"/>
        </w:rPr>
      </w:pPr>
      <w:r w:rsidRPr="00095C14">
        <w:rPr>
          <w:rFonts w:cs="Times New Roman"/>
          <w:b/>
          <w:bCs/>
        </w:rPr>
        <w:t>C:</w:t>
      </w:r>
      <w:r w:rsidRPr="00095C14">
        <w:rPr>
          <w:rFonts w:cs="Times New Roman"/>
        </w:rPr>
        <w:t xml:space="preserve"> Illustrates how statistical evidence was distributed across different outcome families, identifying the groups with the strongest signals. </w:t>
      </w:r>
    </w:p>
    <w:p w14:paraId="1CDB5D73" w14:textId="77777777" w:rsidR="0071714B" w:rsidRPr="00095C14" w:rsidRDefault="0071714B" w:rsidP="0071714B">
      <w:pPr>
        <w:numPr>
          <w:ilvl w:val="0"/>
          <w:numId w:val="35"/>
        </w:numPr>
        <w:spacing w:before="100" w:beforeAutospacing="1" w:after="100" w:afterAutospacing="1" w:line="240" w:lineRule="auto"/>
        <w:rPr>
          <w:rFonts w:cs="Times New Roman"/>
        </w:rPr>
      </w:pPr>
      <w:r w:rsidRPr="00095C14">
        <w:rPr>
          <w:rFonts w:cs="Times New Roman"/>
          <w:b/>
          <w:bCs/>
        </w:rPr>
        <w:t>D:</w:t>
      </w:r>
      <w:r w:rsidRPr="00095C14">
        <w:rPr>
          <w:rFonts w:cs="Times New Roman"/>
        </w:rPr>
        <w:t xml:space="preserve"> Compares the number of retained outcomes under different statistical criteria, showing that pre-post findings were more robust than asymmetry-gap findings. </w:t>
      </w:r>
    </w:p>
    <w:p w14:paraId="269CC538" w14:textId="77777777" w:rsidR="0071714B" w:rsidRPr="00095C14" w:rsidRDefault="0071714B" w:rsidP="0071714B">
      <w:pPr>
        <w:numPr>
          <w:ilvl w:val="0"/>
          <w:numId w:val="35"/>
        </w:numPr>
        <w:spacing w:before="100" w:beforeAutospacing="1" w:after="100" w:afterAutospacing="1" w:line="240" w:lineRule="auto"/>
        <w:rPr>
          <w:rFonts w:cs="Times New Roman"/>
        </w:rPr>
      </w:pPr>
      <w:r w:rsidRPr="00095C14">
        <w:rPr>
          <w:rFonts w:cs="Times New Roman"/>
          <w:b/>
          <w:bCs/>
        </w:rPr>
        <w:t>E:</w:t>
      </w:r>
      <w:r w:rsidRPr="00095C14">
        <w:rPr>
          <w:rFonts w:cs="Times New Roman"/>
        </w:rPr>
        <w:t xml:space="preserve"> Orders the outcomes according to percent change, showing that most variables moved in the direction of improvement after the program. </w:t>
      </w:r>
    </w:p>
    <w:p w14:paraId="6746B0E9" w14:textId="77777777" w:rsidR="0071714B" w:rsidRPr="00095C14" w:rsidRDefault="0071714B" w:rsidP="0071714B">
      <w:pPr>
        <w:numPr>
          <w:ilvl w:val="0"/>
          <w:numId w:val="35"/>
        </w:numPr>
        <w:spacing w:before="100" w:beforeAutospacing="1" w:after="100" w:afterAutospacing="1" w:line="240" w:lineRule="auto"/>
        <w:rPr>
          <w:rFonts w:cs="Times New Roman"/>
        </w:rPr>
      </w:pPr>
      <w:r w:rsidRPr="00095C14">
        <w:rPr>
          <w:rFonts w:cs="Times New Roman"/>
          <w:b/>
          <w:bCs/>
        </w:rPr>
        <w:t>F:</w:t>
      </w:r>
      <w:r w:rsidRPr="00095C14">
        <w:rPr>
          <w:rFonts w:cs="Times New Roman"/>
        </w:rPr>
        <w:t xml:space="preserve"> Presents the distribution of effect sizes across variable families, indicating that some families showed stronger effects than others.</w:t>
      </w:r>
    </w:p>
    <w:p w14:paraId="1DFDC3FF" w14:textId="77777777" w:rsidR="0071714B" w:rsidRDefault="0071714B" w:rsidP="0071714B">
      <w:pPr>
        <w:tabs>
          <w:tab w:val="left" w:pos="6366"/>
        </w:tabs>
        <w:rPr>
          <w:rtl/>
        </w:rPr>
      </w:pPr>
      <w:r>
        <w:rPr>
          <w:noProof/>
        </w:rPr>
        <w:lastRenderedPageBreak/>
        <w:drawing>
          <wp:anchor distT="0" distB="0" distL="114300" distR="114300" simplePos="0" relativeHeight="251659264" behindDoc="0" locked="0" layoutInCell="1" allowOverlap="1" wp14:anchorId="5E0A830E" wp14:editId="5452A233">
            <wp:simplePos x="0" y="0"/>
            <wp:positionH relativeFrom="column">
              <wp:posOffset>-123190</wp:posOffset>
            </wp:positionH>
            <wp:positionV relativeFrom="paragraph">
              <wp:posOffset>-166370</wp:posOffset>
            </wp:positionV>
            <wp:extent cx="6621780" cy="4485005"/>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21780" cy="44850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B54CFF3" w14:textId="77777777" w:rsidR="0071714B" w:rsidRPr="00095C14" w:rsidRDefault="0071714B" w:rsidP="0071714B">
      <w:pPr>
        <w:pStyle w:val="2"/>
        <w:rPr>
          <w:color w:val="auto"/>
        </w:rPr>
      </w:pPr>
      <w:r w:rsidRPr="00095C14">
        <w:rPr>
          <w:color w:val="auto"/>
        </w:rPr>
        <w:t>Regional, Phase-Based, and Asymmetry-Related Synthesis of Change</w:t>
      </w:r>
    </w:p>
    <w:p w14:paraId="6FBA6D99" w14:textId="77777777" w:rsidR="0071714B" w:rsidRDefault="0071714B" w:rsidP="0071714B">
      <w:pPr>
        <w:numPr>
          <w:ilvl w:val="0"/>
          <w:numId w:val="36"/>
        </w:numPr>
        <w:spacing w:before="100" w:beforeAutospacing="1" w:after="100" w:afterAutospacing="1" w:line="276" w:lineRule="auto"/>
      </w:pPr>
      <w:r>
        <w:rPr>
          <w:rStyle w:val="af3"/>
        </w:rPr>
        <w:t>A:</w:t>
      </w:r>
      <w:r>
        <w:t xml:space="preserve"> Shows the magnitude of change by anatomical region and gait phase, indicating that some regions improved more than others. </w:t>
      </w:r>
    </w:p>
    <w:p w14:paraId="5E0B7BFE" w14:textId="77777777" w:rsidR="0071714B" w:rsidRDefault="0071714B" w:rsidP="0071714B">
      <w:pPr>
        <w:numPr>
          <w:ilvl w:val="0"/>
          <w:numId w:val="36"/>
        </w:numPr>
        <w:spacing w:before="100" w:beforeAutospacing="1" w:after="100" w:afterAutospacing="1" w:line="276" w:lineRule="auto"/>
      </w:pPr>
      <w:r>
        <w:rPr>
          <w:rStyle w:val="af3"/>
        </w:rPr>
        <w:t>B:</w:t>
      </w:r>
      <w:r>
        <w:t xml:space="preserve"> Ranks the asymmetry-gap outcomes according to the amount of change, confirming that asymmetry improvement was selective rather than general. </w:t>
      </w:r>
    </w:p>
    <w:p w14:paraId="79A0B163" w14:textId="77777777" w:rsidR="0071714B" w:rsidRDefault="0071714B" w:rsidP="0071714B">
      <w:pPr>
        <w:numPr>
          <w:ilvl w:val="0"/>
          <w:numId w:val="36"/>
        </w:numPr>
        <w:spacing w:before="100" w:beforeAutospacing="1" w:after="100" w:afterAutospacing="1" w:line="276" w:lineRule="auto"/>
      </w:pPr>
      <w:r>
        <w:rPr>
          <w:rStyle w:val="af3"/>
        </w:rPr>
        <w:t>C:</w:t>
      </w:r>
      <w:r>
        <w:t xml:space="preserve"> Presents the pooled effect-size synthesis by gait phase, showing that the leading and trailing phases retained relatively stronger signals. </w:t>
      </w:r>
    </w:p>
    <w:p w14:paraId="24C2154F" w14:textId="77777777" w:rsidR="0071714B" w:rsidRDefault="0071714B" w:rsidP="0071714B">
      <w:pPr>
        <w:numPr>
          <w:ilvl w:val="0"/>
          <w:numId w:val="36"/>
        </w:numPr>
        <w:spacing w:before="100" w:beforeAutospacing="1" w:after="100" w:afterAutospacing="1" w:line="276" w:lineRule="auto"/>
      </w:pPr>
      <w:r>
        <w:rPr>
          <w:rStyle w:val="af3"/>
        </w:rPr>
        <w:t>D:</w:t>
      </w:r>
      <w:r>
        <w:t xml:space="preserve"> Combines effect size and magnitude of change in one plot, identifying the groups that showed both larger improvement and stronger effects. </w:t>
      </w:r>
    </w:p>
    <w:p w14:paraId="44B8325E" w14:textId="77777777" w:rsidR="0071714B" w:rsidRDefault="0071714B" w:rsidP="0071714B">
      <w:pPr>
        <w:numPr>
          <w:ilvl w:val="0"/>
          <w:numId w:val="36"/>
        </w:numPr>
        <w:spacing w:before="100" w:beforeAutospacing="1" w:after="100" w:afterAutospacing="1" w:line="276" w:lineRule="auto"/>
      </w:pPr>
      <w:r>
        <w:rPr>
          <w:rStyle w:val="af3"/>
        </w:rPr>
        <w:t>E:</w:t>
      </w:r>
      <w:r>
        <w:t xml:space="preserve"> Displays the distribution of BH-FDR significant outcomes by anatomical region, showing where the strongest results were concentrated.</w:t>
      </w:r>
    </w:p>
    <w:p w14:paraId="6971229A" w14:textId="77777777" w:rsidR="0071714B" w:rsidRDefault="0071714B" w:rsidP="0071714B">
      <w:pPr>
        <w:tabs>
          <w:tab w:val="left" w:pos="6366"/>
        </w:tabs>
        <w:rPr>
          <w:rtl/>
        </w:rPr>
      </w:pPr>
    </w:p>
    <w:p w14:paraId="344961B6" w14:textId="77777777" w:rsidR="0071714B" w:rsidRDefault="0071714B" w:rsidP="0071714B">
      <w:pPr>
        <w:tabs>
          <w:tab w:val="left" w:pos="6366"/>
        </w:tabs>
        <w:rPr>
          <w:rtl/>
        </w:rPr>
      </w:pPr>
    </w:p>
    <w:p w14:paraId="7E364EF1" w14:textId="77777777" w:rsidR="0071714B" w:rsidRPr="007872ED" w:rsidRDefault="0071714B" w:rsidP="0071714B">
      <w:pPr>
        <w:pStyle w:val="2"/>
        <w:rPr>
          <w:rFonts w:cs="Times New Roman"/>
          <w:sz w:val="24"/>
          <w:szCs w:val="24"/>
        </w:rPr>
      </w:pPr>
    </w:p>
    <w:p w14:paraId="047F6CDD" w14:textId="77777777" w:rsidR="0071714B" w:rsidRPr="000627DE" w:rsidRDefault="0071714B" w:rsidP="0071714B">
      <w:pPr>
        <w:pStyle w:val="1"/>
        <w:jc w:val="both"/>
      </w:pPr>
      <w:r w:rsidRPr="000627DE">
        <w:t>8. Discussion</w:t>
      </w:r>
    </w:p>
    <w:p w14:paraId="278010C3" w14:textId="77777777" w:rsidR="0071714B" w:rsidRDefault="0071714B" w:rsidP="0071714B">
      <w:pPr>
        <w:spacing w:after="120"/>
        <w:jc w:val="both"/>
      </w:pPr>
      <w:r>
        <w:t xml:space="preserve">The strengthened results indicate that the recreational rehabilitation program was associated with a broad improvement signal across direct double-support outcomes and a more selective improvement pattern </w:t>
      </w:r>
      <w:r>
        <w:lastRenderedPageBreak/>
        <w:t>across asymmetry-gap measures. This distinction is clinically important. It suggests that rehabilitation may first improve loading confidence, temporal organization, and movement control within the prosthetic and proximal kinetic chain before producing a broader restoration of full bilateral symmetry.</w:t>
      </w:r>
    </w:p>
    <w:p w14:paraId="770FBE56" w14:textId="77777777" w:rsidR="0071714B" w:rsidRDefault="0071714B" w:rsidP="0071714B">
      <w:pPr>
        <w:spacing w:after="120"/>
        <w:jc w:val="both"/>
      </w:pPr>
      <w:r>
        <w:t>The concentration of stronger findings around the knee, ankle, trunk timing, and selected center-of-mass outcomes is consistent with the biomechanical literature on weight transfer, trunk compensation, and prosthetic gait adaptation (Sagawa et al., 2011; Tura et al., 2010; Ochoa-Diaz &amp; Bó, 2020). These variables are especially relevant because they sit close to the mechanical transition point of double support, where stability, propulsion, and confidence in prosthetic loading converge.</w:t>
      </w:r>
    </w:p>
    <w:p w14:paraId="3205DD9B" w14:textId="77777777" w:rsidR="0071714B" w:rsidRDefault="0071714B" w:rsidP="0071714B">
      <w:pPr>
        <w:spacing w:after="120"/>
        <w:jc w:val="both"/>
      </w:pPr>
      <w:r>
        <w:t>At the same time, the more selective nature of asymmetry-gap improvement aligns with previous work showing that functional symmetry may remain disturbed even when general walking performance appears better (Schaarschmidt et al., 2012; Seth et al., 2022). From a clinical perspective, this means that broad improvement in direct gait control should not automatically be interpreted as full normalization of bilateral movement behavior.</w:t>
      </w:r>
    </w:p>
    <w:p w14:paraId="26136099" w14:textId="77777777" w:rsidR="0071714B" w:rsidRDefault="0071714B" w:rsidP="0071714B">
      <w:pPr>
        <w:spacing w:after="120"/>
        <w:jc w:val="both"/>
        <w:rPr>
          <w:rtl/>
        </w:rPr>
      </w:pPr>
      <w:r w:rsidRPr="002D34A9">
        <w:t>One of the strengths of this study is that the interpretation of the findings was not based on a single inferential criterion. Instead, the stability of the conclusions was examined through a range of statistical procedures, including BH-FDR correction, Holm and Bonferroni adjustments, sensitivity analysis, directional consistency testing, combined probability testing, and pooled subgroup synthesis. Although this approach does not remove the limitations associated with the small sample size, it provides a more rigorous and balanced interpretive framework.</w:t>
      </w:r>
    </w:p>
    <w:p w14:paraId="506D8687" w14:textId="77777777" w:rsidR="0071714B" w:rsidRDefault="0071714B" w:rsidP="0071714B">
      <w:pPr>
        <w:spacing w:after="120"/>
        <w:jc w:val="both"/>
      </w:pPr>
      <w:r>
        <w:t>The study remains exploratory. The sample size was extremely small, the re-analysis was based on published summary statistics rather than participant-level raw data, and some very large effect sizes may reflect both genuine improvement and instability induced by low variability in such a small sample. Accordingly, the value of the present work lies less in claiming definitive proof and more in identifying the outcomes most worth prioritizing in future confirmatory studies.</w:t>
      </w:r>
    </w:p>
    <w:p w14:paraId="14CEC4AF" w14:textId="77777777" w:rsidR="0071714B" w:rsidRPr="000627DE" w:rsidRDefault="0071714B" w:rsidP="0071714B">
      <w:pPr>
        <w:spacing w:after="120"/>
        <w:jc w:val="both"/>
        <w:rPr>
          <w:b/>
          <w:bCs/>
          <w:sz w:val="28"/>
          <w:szCs w:val="28"/>
        </w:rPr>
      </w:pPr>
      <w:r w:rsidRPr="000627DE">
        <w:rPr>
          <w:b/>
          <w:bCs/>
          <w:sz w:val="28"/>
          <w:szCs w:val="28"/>
        </w:rPr>
        <w:t>9</w:t>
      </w:r>
      <w:r w:rsidRPr="000627DE">
        <w:rPr>
          <w:rFonts w:hint="cs"/>
          <w:b/>
          <w:bCs/>
          <w:sz w:val="28"/>
          <w:szCs w:val="28"/>
          <w:rtl/>
        </w:rPr>
        <w:t>.</w:t>
      </w:r>
      <w:r w:rsidRPr="000627DE">
        <w:rPr>
          <w:b/>
          <w:bCs/>
          <w:sz w:val="28"/>
          <w:szCs w:val="28"/>
        </w:rPr>
        <w:t xml:space="preserve"> Conclusions and Recommendations</w:t>
      </w:r>
    </w:p>
    <w:p w14:paraId="5B5C26AB" w14:textId="77777777" w:rsidR="0071714B" w:rsidRDefault="0071714B" w:rsidP="0071714B">
      <w:pPr>
        <w:spacing w:after="120"/>
        <w:jc w:val="both"/>
        <w:rPr>
          <w:rtl/>
        </w:rPr>
      </w:pPr>
      <w:r>
        <w:t>The recreational rehabilitation program was associated with broad improvement in direct double-support gait outcomes, while improvement in asymmetry-gap measures was more selective. The most clinically meaningful findings were concentrated in trunk timing, selected affected-knee and affected-ankle kinematics, and center-of-mass indicators. Although the results appear promising, they should be interpreted as exploratory because of the very small sample size. Future studies should examine these outcomes in larger samples, preferably using control or comparison groups, while maintaining double-support, inter-limb symmetry, and center-of-mass measures as core outcome domains.</w:t>
      </w:r>
    </w:p>
    <w:p w14:paraId="794457B1" w14:textId="77777777" w:rsidR="0071714B" w:rsidRDefault="0071714B" w:rsidP="0071714B">
      <w:pPr>
        <w:spacing w:after="120"/>
        <w:jc w:val="both"/>
        <w:rPr>
          <w:rtl/>
        </w:rPr>
      </w:pPr>
    </w:p>
    <w:p w14:paraId="4DE51EE1" w14:textId="77777777" w:rsidR="0071714B" w:rsidRDefault="0071714B" w:rsidP="0071714B">
      <w:pPr>
        <w:spacing w:after="120"/>
        <w:jc w:val="both"/>
        <w:rPr>
          <w:rtl/>
        </w:rPr>
      </w:pPr>
    </w:p>
    <w:p w14:paraId="69DE880F" w14:textId="77777777" w:rsidR="0071714B" w:rsidRDefault="0071714B" w:rsidP="0071714B">
      <w:pPr>
        <w:spacing w:after="120"/>
        <w:jc w:val="both"/>
        <w:rPr>
          <w:rtl/>
        </w:rPr>
      </w:pPr>
    </w:p>
    <w:p w14:paraId="19169DFD" w14:textId="77777777" w:rsidR="0071714B" w:rsidRPr="00304850" w:rsidRDefault="0071714B" w:rsidP="0071714B">
      <w:pPr>
        <w:pStyle w:val="1"/>
      </w:pPr>
      <w:r w:rsidRPr="00304850">
        <w:t xml:space="preserve">References </w:t>
      </w:r>
    </w:p>
    <w:p w14:paraId="13B7B407" w14:textId="77777777" w:rsidR="0071714B" w:rsidRDefault="0071714B" w:rsidP="0071714B">
      <w:pPr>
        <w:spacing w:after="120"/>
      </w:pPr>
      <w:r>
        <w:t>Abou, L., Fliflet, A., Zhao, L., Du, Y., &amp; Rice, L. A. (2022). The effectiveness of exercise interventions to improve gait and balance in individuals with lower limb amputations: A systematic review and meta-analysis. Clinical Rehabilitation, 36(7), 857–872. https://doi.org/10.1177/02692155221086204</w:t>
      </w:r>
    </w:p>
    <w:p w14:paraId="09821E1A" w14:textId="77777777" w:rsidR="0071714B" w:rsidRDefault="0071714B" w:rsidP="0071714B">
      <w:pPr>
        <w:spacing w:after="120"/>
      </w:pPr>
      <w:r>
        <w:t xml:space="preserve">Almeida, L. V., Fukuchi, C. A., </w:t>
      </w:r>
      <w:proofErr w:type="spellStart"/>
      <w:r>
        <w:t>Sakanaka</w:t>
      </w:r>
      <w:proofErr w:type="spellEnd"/>
      <w:r>
        <w:t xml:space="preserve">, T. E., &amp; </w:t>
      </w:r>
      <w:proofErr w:type="spellStart"/>
      <w:r>
        <w:t>Cliquet</w:t>
      </w:r>
      <w:proofErr w:type="spellEnd"/>
      <w:r>
        <w:t>, A., Jr. (2021). A low-cost easily implementable physiotherapy intervention clinically improves gait implying better adaptation to lower limb prosthesis: A randomized clinical trial. Scientific Reports, 11, 21228. https://doi.org/10.1038/s41598-021-00686-9</w:t>
      </w:r>
    </w:p>
    <w:p w14:paraId="5FC98FB4" w14:textId="77777777" w:rsidR="0071714B" w:rsidRDefault="0071714B" w:rsidP="0071714B">
      <w:pPr>
        <w:spacing w:after="120"/>
      </w:pPr>
      <w:r>
        <w:lastRenderedPageBreak/>
        <w:t xml:space="preserve">Einfeldt, A.-K., Brinck, A.-K., Schiller, S., &amp; </w:t>
      </w:r>
      <w:proofErr w:type="spellStart"/>
      <w:r>
        <w:t>Borgetto</w:t>
      </w:r>
      <w:proofErr w:type="spellEnd"/>
      <w:r>
        <w:t>, B. M. (2022). Gait training for lower limb amputees: A systematic review based on the research pyramid. Rehabilitation, 61(6), 373–382. https://doi.org/10.1055/a-1719-3801</w:t>
      </w:r>
    </w:p>
    <w:p w14:paraId="529AD870" w14:textId="77777777" w:rsidR="0071714B" w:rsidRDefault="0071714B" w:rsidP="0071714B">
      <w:pPr>
        <w:spacing w:after="120"/>
      </w:pPr>
      <w:r>
        <w:t xml:space="preserve">Isakov, E., Burger, H., Krajnik, J., </w:t>
      </w:r>
      <w:proofErr w:type="spellStart"/>
      <w:r>
        <w:t>Gregoric</w:t>
      </w:r>
      <w:proofErr w:type="spellEnd"/>
      <w:r>
        <w:t>, M., &amp; Marincek, C. (1997). Double-limb support and step-length asymmetry in below-knee amputees. Scandinavian Journal of Rehabilitation Medicine, 29(2), 75–79.</w:t>
      </w:r>
    </w:p>
    <w:p w14:paraId="196E17AF" w14:textId="77777777" w:rsidR="0071714B" w:rsidRDefault="0071714B" w:rsidP="0071714B">
      <w:pPr>
        <w:spacing w:after="120"/>
      </w:pPr>
      <w:r>
        <w:t>Maqbool, H. F., Mahmood, I., Ali, A., Iqbal, N., Seong, J.-T., Dehghani-</w:t>
      </w:r>
      <w:proofErr w:type="spellStart"/>
      <w:r>
        <w:t>Sanij</w:t>
      </w:r>
      <w:proofErr w:type="spellEnd"/>
      <w:r>
        <w:t xml:space="preserve">, A. A., </w:t>
      </w:r>
      <w:proofErr w:type="spellStart"/>
      <w:r>
        <w:t>Alaziz</w:t>
      </w:r>
      <w:proofErr w:type="spellEnd"/>
      <w:r>
        <w:t xml:space="preserve">, S. N., &amp; Awad, M. I. (2024). Gait asymmetrical evaluation of lower limb amputees using wearable inertial sensors. </w:t>
      </w:r>
      <w:proofErr w:type="spellStart"/>
      <w:r>
        <w:t>Heliyon</w:t>
      </w:r>
      <w:proofErr w:type="spellEnd"/>
      <w:r>
        <w:t>, 10(12), e32207. https://doi.org/10.1016/j.heliyon.2024.e32207</w:t>
      </w:r>
    </w:p>
    <w:p w14:paraId="2F8F43A1" w14:textId="77777777" w:rsidR="0071714B" w:rsidRDefault="0071714B" w:rsidP="0071714B">
      <w:pPr>
        <w:spacing w:after="120"/>
      </w:pPr>
      <w:r>
        <w:t>Ochoa-Diaz, C., &amp; Bó, A. P. L. (2020). Symmetry analysis of amputee gait based on body center of mass trajectory and discrete Fourier transform. Sensors, 20(8), 2392. https://doi.org/10.3390/s20082392</w:t>
      </w:r>
    </w:p>
    <w:p w14:paraId="26225407" w14:textId="77777777" w:rsidR="0071714B" w:rsidRDefault="0071714B" w:rsidP="0071714B">
      <w:pPr>
        <w:spacing w:after="120"/>
      </w:pPr>
      <w:r>
        <w:t>Perry, J., &amp; Burnfield, J. M. (2010). Gait analysis: Normal and pathological function (2nd ed.). Slack Incorporated.</w:t>
      </w:r>
    </w:p>
    <w:p w14:paraId="0DFE5089" w14:textId="77777777" w:rsidR="0071714B" w:rsidRDefault="0071714B" w:rsidP="0071714B">
      <w:pPr>
        <w:spacing w:after="120"/>
      </w:pPr>
      <w:r>
        <w:t xml:space="preserve">Sagawa, Y., Turcot, K., Armand, S., </w:t>
      </w:r>
      <w:proofErr w:type="spellStart"/>
      <w:r>
        <w:t>Thevenon</w:t>
      </w:r>
      <w:proofErr w:type="spellEnd"/>
      <w:r>
        <w:t xml:space="preserve">, A., </w:t>
      </w:r>
      <w:proofErr w:type="spellStart"/>
      <w:r>
        <w:t>Vuillerme</w:t>
      </w:r>
      <w:proofErr w:type="spellEnd"/>
      <w:r>
        <w:t xml:space="preserve">, N., &amp; </w:t>
      </w:r>
      <w:proofErr w:type="spellStart"/>
      <w:r>
        <w:t>Watelain</w:t>
      </w:r>
      <w:proofErr w:type="spellEnd"/>
      <w:r>
        <w:t>, E. (2011). Biomechanics and physiological parameters during gait in lower-limb amputees: A systematic review. Gait &amp; Posture, 33(4), 511–526. https://doi.org/10.1016/j.gaitpost.2011.02.003</w:t>
      </w:r>
    </w:p>
    <w:p w14:paraId="70644FE3" w14:textId="77777777" w:rsidR="0071714B" w:rsidRDefault="0071714B" w:rsidP="0071714B">
      <w:pPr>
        <w:spacing w:after="120"/>
      </w:pPr>
      <w:r>
        <w:t>Schaarschmidt, M., Lipfert, S. W., Meier-Gratz, C., Scholle, H.-C., &amp; Seyfarth, A. (2012). Functional gait asymmetry of unilateral transfemoral amputees. Human Movement Science, 31(4), 907–917. https://doi.org/10.1016/j.humov.2011.09.004</w:t>
      </w:r>
    </w:p>
    <w:p w14:paraId="5359B98A" w14:textId="77777777" w:rsidR="0071714B" w:rsidRDefault="0071714B" w:rsidP="0071714B">
      <w:pPr>
        <w:spacing w:after="120"/>
      </w:pPr>
      <w:r>
        <w:t>Seth, M., Coyle, P. C., Pohlig, R. T., &amp; Beisheim, E. H. (2022). Gait asymmetry is associated with performance-based physical function among adults with lower-limb amputation. Physiotherapy Theory and Practice, 38(13), 3108–3118. https://doi.org/10.1080/09593985.2021.1990449</w:t>
      </w:r>
    </w:p>
    <w:p w14:paraId="342FC990" w14:textId="77777777" w:rsidR="0071714B" w:rsidRDefault="0071714B" w:rsidP="0071714B">
      <w:pPr>
        <w:spacing w:after="120"/>
      </w:pPr>
      <w:r>
        <w:t xml:space="preserve">Tura, A., Raggi, M., Rocchi, L., </w:t>
      </w:r>
      <w:proofErr w:type="spellStart"/>
      <w:r>
        <w:t>Cutti</w:t>
      </w:r>
      <w:proofErr w:type="spellEnd"/>
      <w:r>
        <w:t xml:space="preserve">, A. G., &amp; Chiari, L. (2010). Gait symmetry and regularity in transfemoral amputees assessed by trunk accelerations. Journal of </w:t>
      </w:r>
      <w:proofErr w:type="spellStart"/>
      <w:r>
        <w:t>NeuroEngineering</w:t>
      </w:r>
      <w:proofErr w:type="spellEnd"/>
      <w:r>
        <w:t xml:space="preserve"> and Rehabilitation, 7, 4. https://doi.org/10.1186/1743-0003-7-4</w:t>
      </w:r>
    </w:p>
    <w:p w14:paraId="28545867" w14:textId="77777777" w:rsidR="0071714B" w:rsidRDefault="0071714B" w:rsidP="0071714B">
      <w:pPr>
        <w:spacing w:after="120"/>
      </w:pPr>
      <w:r>
        <w:t xml:space="preserve">van Velzen, J. M., van Bennekom, C. A. M., Polomski, W., </w:t>
      </w:r>
      <w:proofErr w:type="spellStart"/>
      <w:r>
        <w:t>Slootman</w:t>
      </w:r>
      <w:proofErr w:type="spellEnd"/>
      <w:r>
        <w:t xml:space="preserve">, J. R., van der Woude, L. H. V., &amp; </w:t>
      </w:r>
      <w:proofErr w:type="spellStart"/>
      <w:r>
        <w:t>Houdijk</w:t>
      </w:r>
      <w:proofErr w:type="spellEnd"/>
      <w:r>
        <w:t>, H. (2006). Physical capacity and walking ability after lower limb amputation: A systematic review. Clinical Rehabilitation, 20(11), 999–1016. https://doi.org/10.1177/0269215506070700</w:t>
      </w:r>
    </w:p>
    <w:p w14:paraId="46D03F02" w14:textId="77777777" w:rsidR="0071714B" w:rsidRDefault="0071714B" w:rsidP="0071714B">
      <w:pPr>
        <w:spacing w:after="120"/>
      </w:pPr>
      <w:r>
        <w:t>Winter, D. A. (2009). Biomechanics and motor control of human movement (4th ed.). John Wiley &amp; Sons.</w:t>
      </w:r>
    </w:p>
    <w:p w14:paraId="3E0E1687" w14:textId="77777777" w:rsidR="0071714B" w:rsidRDefault="0071714B" w:rsidP="0071714B">
      <w:pPr>
        <w:spacing w:after="120"/>
      </w:pPr>
      <w:r>
        <w:t>Wong, C. K., Ehrlich, J. E., Ersing, J. C., Maroldi, N. J., Stevenson, C. E., &amp; Varca, M. J. (2016). Exercise programs to improve gait performance in people with lower limb amputation: A systematic review. Prosthetics and Orthotics International, 40(1), 8–17. https://doi.org/10.1177/0309364614546926</w:t>
      </w:r>
    </w:p>
    <w:p w14:paraId="6C6DA690" w14:textId="03C2EF04" w:rsidR="00427B38" w:rsidRPr="00BD0E1A" w:rsidRDefault="00427B38" w:rsidP="00BD0E1A">
      <w:pPr>
        <w:numPr>
          <w:ilvl w:val="0"/>
          <w:numId w:val="32"/>
        </w:numPr>
        <w:spacing w:after="0" w:line="240" w:lineRule="auto"/>
        <w:jc w:val="both"/>
        <w:rPr>
          <w:rFonts w:ascii="Sakkal Majalla" w:hAnsi="Sakkal Majalla" w:cs="Sakkal Majalla"/>
          <w:sz w:val="28"/>
          <w:szCs w:val="28"/>
          <w:rtl/>
          <w:lang w:bidi="ar-LY"/>
        </w:rPr>
      </w:pPr>
      <w:r w:rsidRPr="00427B38">
        <w:rPr>
          <w:rFonts w:ascii="Sakkal Majalla" w:hAnsi="Sakkal Majalla" w:cs="Sakkal Majalla"/>
          <w:sz w:val="28"/>
          <w:szCs w:val="28"/>
          <w:lang w:bidi="ar-LY"/>
        </w:rPr>
        <w:t>umber-via-registration-</w:t>
      </w:r>
    </w:p>
    <w:sectPr w:rsidR="00427B38" w:rsidRPr="00BD0E1A" w:rsidSect="008D0941">
      <w:headerReference w:type="even" r:id="rId11"/>
      <w:headerReference w:type="default" r:id="rId12"/>
      <w:footerReference w:type="default" r:id="rId13"/>
      <w:headerReference w:type="first" r:id="rId14"/>
      <w:pgSz w:w="11907" w:h="16840" w:code="9"/>
      <w:pgMar w:top="1134" w:right="1134" w:bottom="1134" w:left="1134" w:header="851" w:footer="907" w:gutter="0"/>
      <w:pgBorders w:offsetFrom="page">
        <w:top w:val="thinThickSmallGap" w:sz="18" w:space="24" w:color="ACB9CA" w:themeColor="text2" w:themeTint="66"/>
        <w:left w:val="thinThickSmallGap" w:sz="18" w:space="24" w:color="ACB9CA" w:themeColor="text2" w:themeTint="66"/>
        <w:bottom w:val="thickThinSmallGap" w:sz="18" w:space="24" w:color="ACB9CA" w:themeColor="text2" w:themeTint="66"/>
        <w:right w:val="thickThinSmallGap" w:sz="18" w:space="24" w:color="ACB9CA" w:themeColor="text2" w:themeTint="66"/>
      </w:pgBorders>
      <w:cols w:space="708"/>
      <w:titlePg/>
      <w:bidi/>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26AE75" w14:textId="77777777" w:rsidR="00E94EA5" w:rsidRDefault="00E94EA5" w:rsidP="000D687D">
      <w:pPr>
        <w:spacing w:after="0" w:line="240" w:lineRule="auto"/>
      </w:pPr>
      <w:r>
        <w:separator/>
      </w:r>
    </w:p>
  </w:endnote>
  <w:endnote w:type="continuationSeparator" w:id="0">
    <w:p w14:paraId="002942D8" w14:textId="77777777" w:rsidR="00E94EA5" w:rsidRDefault="00E94EA5" w:rsidP="000D68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implified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ヒラギノ角ゴ Pro W3">
    <w:altName w:val="Yu Gothic"/>
    <w:charset w:val="80"/>
    <w:family w:val="swiss"/>
    <w:pitch w:val="variable"/>
    <w:sig w:usb0="E00002FF" w:usb1="7AC7FFFF" w:usb2="00000012" w:usb3="00000000" w:csb0="0002000D" w:csb1="00000000"/>
  </w:font>
  <w:font w:name="Sakkal Majalla">
    <w:panose1 w:val="02000000000000000000"/>
    <w:charset w:val="00"/>
    <w:family w:val="auto"/>
    <w:pitch w:val="variable"/>
    <w:sig w:usb0="A0002027" w:usb1="80000000" w:usb2="00000108" w:usb3="00000000" w:csb0="000000D3"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AE185" w14:textId="77777777" w:rsidR="006774A7" w:rsidRDefault="006774A7">
    <w:pPr>
      <w:pStyle w:val="a4"/>
    </w:pPr>
    <w:r w:rsidRPr="006774A7">
      <w:rPr>
        <w:noProof/>
      </w:rPr>
      <w:drawing>
        <wp:inline distT="0" distB="0" distL="0" distR="0" wp14:anchorId="291E908E" wp14:editId="149C63F1">
          <wp:extent cx="6120765" cy="648335"/>
          <wp:effectExtent l="0" t="0" r="0" b="0"/>
          <wp:docPr id="1488263094"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765" cy="64833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95BE36" w14:textId="77777777" w:rsidR="00E94EA5" w:rsidRDefault="00E94EA5" w:rsidP="000D687D">
      <w:pPr>
        <w:spacing w:after="0" w:line="240" w:lineRule="auto"/>
      </w:pPr>
      <w:r>
        <w:separator/>
      </w:r>
    </w:p>
  </w:footnote>
  <w:footnote w:type="continuationSeparator" w:id="0">
    <w:p w14:paraId="5C151E99" w14:textId="77777777" w:rsidR="00E94EA5" w:rsidRDefault="00E94EA5" w:rsidP="000D68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33945" w14:textId="77777777" w:rsidR="000E4D09" w:rsidRDefault="00000000">
    <w:pPr>
      <w:pStyle w:val="a3"/>
    </w:pPr>
    <w:r>
      <w:rPr>
        <w:noProof/>
      </w:rPr>
      <w:pict w14:anchorId="58D3DBF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784766" o:spid="_x0000_s1041" type="#_x0000_t75" style="position:absolute;margin-left:0;margin-top:0;width:84.2pt;height:28.05pt;z-index:-251657728;mso-position-horizontal:center;mso-position-horizontal-relative:margin;mso-position-vertical:center;mso-position-vertical-relative:margin" o:allowincell="f">
          <v:imagedata r:id="rId1" o:title="0906"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BE909" w14:textId="77777777" w:rsidR="000E4D09" w:rsidRDefault="00000000">
    <w:pPr>
      <w:pStyle w:val="a3"/>
    </w:pPr>
    <w:r>
      <w:rPr>
        <w:noProof/>
      </w:rPr>
      <w:pict w14:anchorId="65B0DAD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784767" o:spid="_x0000_s1042" type="#_x0000_t75" style="position:absolute;margin-left:0;margin-top:0;width:84.2pt;height:28.05pt;z-index:-251656704;mso-position-horizontal:center;mso-position-horizontal-relative:margin;mso-position-vertical:center;mso-position-vertical-relative:margin" o:allowincell="f">
          <v:imagedata r:id="rId1" o:title="0906"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10"/>
      <w:tblW w:w="104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5533"/>
      <w:gridCol w:w="2959"/>
    </w:tblGrid>
    <w:tr w:rsidR="000D687D" w:rsidRPr="000D687D" w14:paraId="0D135018" w14:textId="77777777" w:rsidTr="00147C61">
      <w:trPr>
        <w:trHeight w:val="1702"/>
      </w:trPr>
      <w:tc>
        <w:tcPr>
          <w:tcW w:w="1980" w:type="dxa"/>
          <w:vAlign w:val="center"/>
        </w:tcPr>
        <w:p w14:paraId="70AF9F98" w14:textId="77777777" w:rsidR="000D687D" w:rsidRPr="00D43A2B" w:rsidRDefault="000D687D" w:rsidP="00E07A91">
          <w:pPr>
            <w:tabs>
              <w:tab w:val="center" w:pos="4706"/>
              <w:tab w:val="right" w:pos="9356"/>
            </w:tabs>
            <w:spacing w:line="200" w:lineRule="atLeast"/>
            <w:rPr>
              <w:rFonts w:ascii="Times New Roman" w:eastAsia="SimSun" w:hAnsi="Times New Roman" w:cs="Times New Roman"/>
              <w:noProof/>
              <w:sz w:val="14"/>
              <w:szCs w:val="20"/>
            </w:rPr>
          </w:pPr>
          <w:r w:rsidRPr="00D43A2B">
            <w:rPr>
              <w:rFonts w:ascii="Calibri" w:hAnsi="Calibri" w:cs="Arial"/>
              <w:noProof/>
              <w:sz w:val="16"/>
              <w:szCs w:val="16"/>
            </w:rPr>
            <w:drawing>
              <wp:anchor distT="0" distB="0" distL="114300" distR="114300" simplePos="0" relativeHeight="251655680" behindDoc="1" locked="0" layoutInCell="1" allowOverlap="1" wp14:anchorId="4EB2CB8C" wp14:editId="3C37A023">
                <wp:simplePos x="0" y="0"/>
                <wp:positionH relativeFrom="column">
                  <wp:posOffset>-118110</wp:posOffset>
                </wp:positionH>
                <wp:positionV relativeFrom="paragraph">
                  <wp:posOffset>-78740</wp:posOffset>
                </wp:positionV>
                <wp:extent cx="991870" cy="967740"/>
                <wp:effectExtent l="0" t="0" r="0" b="3810"/>
                <wp:wrapNone/>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
                        <pic:cNvPicPr>
                          <a:picLocks noChangeAspect="1" noChangeArrowheads="1"/>
                        </pic:cNvPicPr>
                      </pic:nvPicPr>
                      <pic:blipFill>
                        <a:blip r:embed="rId1">
                          <a:extLst>
                            <a:ext uri="{BEBA8EAE-BF5A-486C-A8C5-ECC9F3942E4B}">
                              <a14:imgProps xmlns:a14="http://schemas.microsoft.com/office/drawing/2010/main">
                                <a14:imgLayer r:embed="rId2">
                                  <a14:imgEffect>
                                    <a14:saturation sat="400000"/>
                                  </a14:imgEffect>
                                </a14:imgLayer>
                              </a14:imgProps>
                            </a:ext>
                            <a:ext uri="{28A0092B-C50C-407E-A947-70E740481C1C}">
                              <a14:useLocalDpi xmlns:a14="http://schemas.microsoft.com/office/drawing/2010/main" val="0"/>
                            </a:ext>
                          </a:extLst>
                        </a:blip>
                        <a:srcRect t="2744" b="2744"/>
                        <a:stretch>
                          <a:fillRect/>
                        </a:stretch>
                      </pic:blipFill>
                      <pic:spPr bwMode="auto">
                        <a:xfrm>
                          <a:off x="0" y="0"/>
                          <a:ext cx="991870" cy="967740"/>
                        </a:xfrm>
                        <a:prstGeom prst="rect">
                          <a:avLst/>
                        </a:prstGeom>
                        <a:noFill/>
                        <a:ln>
                          <a:noFill/>
                        </a:ln>
                        <a:extLst>
                          <a:ext uri="{53640926-AAD7-44D8-BBD7-CCE9431645EC}">
                            <a14:shadowObscured xmlns:a14="http://schemas.microsoft.com/office/drawing/2010/main"/>
                          </a:ext>
                        </a:extLst>
                      </pic:spPr>
                    </pic:pic>
                  </a:graphicData>
                </a:graphic>
              </wp:anchor>
            </w:drawing>
          </w:r>
        </w:p>
      </w:tc>
      <w:tc>
        <w:tcPr>
          <w:tcW w:w="5533" w:type="dxa"/>
          <w:shd w:val="clear" w:color="auto" w:fill="002060"/>
          <w:vAlign w:val="center"/>
        </w:tcPr>
        <w:p w14:paraId="1C8A6CFA" w14:textId="77777777" w:rsidR="00147C61" w:rsidRDefault="00147C61" w:rsidP="004E6812">
          <w:pPr>
            <w:widowControl w:val="0"/>
            <w:spacing w:line="230" w:lineRule="exact"/>
            <w:jc w:val="center"/>
            <w:rPr>
              <w:rFonts w:ascii="Traditional Arabic" w:eastAsia="SimSun" w:hAnsi="Traditional Arabic" w:cs="Traditional Arabic"/>
              <w:b/>
              <w:color w:val="800000"/>
              <w:sz w:val="24"/>
              <w:szCs w:val="24"/>
            </w:rPr>
          </w:pPr>
          <w:r w:rsidRPr="00822B2C">
            <w:rPr>
              <w:b/>
              <w:bCs/>
              <w:sz w:val="28"/>
              <w:szCs w:val="28"/>
              <w:rtl/>
            </w:rPr>
            <w:t>مجلة السلام الدولية</w:t>
          </w:r>
          <w:r w:rsidRPr="00822B2C">
            <w:rPr>
              <w:rFonts w:hint="cs"/>
              <w:b/>
              <w:bCs/>
              <w:sz w:val="28"/>
              <w:szCs w:val="28"/>
              <w:rtl/>
            </w:rPr>
            <w:t xml:space="preserve"> للعلوم الإنسانية والتطبيقية</w:t>
          </w:r>
        </w:p>
        <w:p w14:paraId="058375BC" w14:textId="77777777" w:rsidR="00147C61" w:rsidRDefault="00147C61" w:rsidP="004E6812">
          <w:pPr>
            <w:widowControl w:val="0"/>
            <w:spacing w:line="230" w:lineRule="exact"/>
            <w:jc w:val="center"/>
            <w:rPr>
              <w:b/>
              <w:bCs/>
              <w:i/>
              <w:iCs/>
            </w:rPr>
          </w:pPr>
          <w:proofErr w:type="spellStart"/>
          <w:r w:rsidRPr="00D74CE4">
            <w:rPr>
              <w:b/>
              <w:bCs/>
              <w:i/>
              <w:iCs/>
            </w:rPr>
            <w:t>A</w:t>
          </w:r>
          <w:r>
            <w:rPr>
              <w:b/>
              <w:bCs/>
              <w:i/>
              <w:iCs/>
            </w:rPr>
            <w:t>l</w:t>
          </w:r>
          <w:r w:rsidRPr="00D74CE4">
            <w:rPr>
              <w:b/>
              <w:bCs/>
              <w:i/>
              <w:iCs/>
            </w:rPr>
            <w:t>sslam</w:t>
          </w:r>
          <w:proofErr w:type="spellEnd"/>
          <w:r w:rsidRPr="00D74CE4">
            <w:rPr>
              <w:b/>
              <w:bCs/>
              <w:i/>
              <w:iCs/>
            </w:rPr>
            <w:t xml:space="preserve"> International Journal</w:t>
          </w:r>
        </w:p>
        <w:p w14:paraId="1F4868A4" w14:textId="77777777" w:rsidR="000D687D" w:rsidRPr="008901EA" w:rsidRDefault="00147C61" w:rsidP="004E6812">
          <w:pPr>
            <w:widowControl w:val="0"/>
            <w:spacing w:line="230" w:lineRule="exact"/>
            <w:jc w:val="center"/>
            <w:rPr>
              <w:rFonts w:ascii="Traditional Arabic" w:eastAsia="SimSun" w:hAnsi="Traditional Arabic" w:cs="Traditional Arabic"/>
              <w:b/>
              <w:color w:val="FFC000"/>
              <w:sz w:val="24"/>
              <w:szCs w:val="24"/>
              <w:lang w:val="en-US"/>
            </w:rPr>
          </w:pPr>
          <w:r>
            <w:rPr>
              <w:b/>
              <w:bCs/>
              <w:i/>
              <w:iCs/>
            </w:rPr>
            <w:t xml:space="preserve"> Humanities and Applied Sciences</w:t>
          </w:r>
        </w:p>
        <w:p w14:paraId="37E33006" w14:textId="77777777" w:rsidR="000D687D" w:rsidRPr="00147C61" w:rsidRDefault="000D687D" w:rsidP="000D687D">
          <w:pPr>
            <w:widowControl w:val="0"/>
            <w:bidi/>
            <w:spacing w:line="230" w:lineRule="exact"/>
            <w:jc w:val="center"/>
            <w:rPr>
              <w:rFonts w:ascii="Traditional Arabic" w:eastAsia="SimSun" w:hAnsi="Traditional Arabic" w:cs="Traditional Arabic"/>
              <w:bCs/>
              <w:color w:val="FFF2CC" w:themeColor="accent4" w:themeTint="33"/>
              <w:sz w:val="24"/>
              <w:szCs w:val="24"/>
              <w:rtl/>
              <w:lang w:bidi="ar-LY"/>
            </w:rPr>
          </w:pPr>
          <w:r w:rsidRPr="00147C61">
            <w:rPr>
              <w:rFonts w:ascii="Traditional Arabic" w:eastAsia="SimSun" w:hAnsi="Traditional Arabic" w:cs="Traditional Arabic"/>
              <w:bCs/>
              <w:color w:val="FFF2CC" w:themeColor="accent4" w:themeTint="33"/>
              <w:sz w:val="24"/>
              <w:szCs w:val="24"/>
              <w:rtl/>
            </w:rPr>
            <w:t xml:space="preserve">تصدر </w:t>
          </w:r>
          <w:r w:rsidR="00147C61">
            <w:rPr>
              <w:rFonts w:ascii="Traditional Arabic" w:eastAsia="SimSun" w:hAnsi="Traditional Arabic" w:cs="Traditional Arabic" w:hint="cs"/>
              <w:bCs/>
              <w:color w:val="FFF2CC" w:themeColor="accent4" w:themeTint="33"/>
              <w:sz w:val="24"/>
              <w:szCs w:val="24"/>
              <w:rtl/>
            </w:rPr>
            <w:t>عن جامعة السلام الدولية</w:t>
          </w:r>
        </w:p>
        <w:p w14:paraId="21B624DB" w14:textId="77777777" w:rsidR="000D687D" w:rsidRPr="00D43A2B" w:rsidRDefault="00147C61" w:rsidP="001A172E">
          <w:pPr>
            <w:tabs>
              <w:tab w:val="center" w:pos="4706"/>
              <w:tab w:val="right" w:pos="9356"/>
            </w:tabs>
            <w:jc w:val="center"/>
            <w:rPr>
              <w:rFonts w:asciiTheme="majorHAnsi" w:eastAsia="SimSun" w:hAnsiTheme="majorHAnsi" w:cstheme="majorHAnsi"/>
              <w:noProof/>
              <w:sz w:val="14"/>
              <w:szCs w:val="20"/>
            </w:rPr>
          </w:pPr>
          <w:r w:rsidRPr="00147C61">
            <w:rPr>
              <w:rFonts w:ascii="Traditional Arabic" w:eastAsia="SimSun" w:hAnsi="Traditional Arabic" w:cs="Traditional Arabic"/>
              <w:bCs/>
              <w:color w:val="EDEDED" w:themeColor="accent3" w:themeTint="33"/>
              <w:sz w:val="24"/>
              <w:szCs w:val="24"/>
            </w:rPr>
            <w:t xml:space="preserve">https://ojs.aiu.edu.ly/index.php/journal </w:t>
          </w:r>
        </w:p>
      </w:tc>
      <w:tc>
        <w:tcPr>
          <w:tcW w:w="2959" w:type="dxa"/>
          <w:tcBorders>
            <w:left w:val="nil"/>
          </w:tcBorders>
          <w:vAlign w:val="center"/>
        </w:tcPr>
        <w:p w14:paraId="63B0B4C2" w14:textId="77777777" w:rsidR="000D687D" w:rsidRPr="000D687D" w:rsidRDefault="0078737C" w:rsidP="000D687D">
          <w:pPr>
            <w:tabs>
              <w:tab w:val="center" w:pos="4706"/>
              <w:tab w:val="right" w:pos="9356"/>
            </w:tabs>
            <w:spacing w:after="80" w:line="200" w:lineRule="atLeast"/>
            <w:jc w:val="center"/>
            <w:rPr>
              <w:rFonts w:ascii="Times New Roman" w:eastAsia="SimSun" w:hAnsi="Times New Roman" w:cs="Times New Roman"/>
              <w:noProof/>
              <w:sz w:val="14"/>
              <w:szCs w:val="20"/>
            </w:rPr>
          </w:pPr>
          <w:r>
            <w:rPr>
              <w:rFonts w:ascii="Times New Roman" w:eastAsia="SimSun" w:hAnsi="Times New Roman" w:cs="Times New Roman"/>
              <w:noProof/>
              <w:sz w:val="14"/>
              <w:szCs w:val="20"/>
            </w:rPr>
            <w:drawing>
              <wp:anchor distT="0" distB="0" distL="114300" distR="114300" simplePos="0" relativeHeight="251656704" behindDoc="1" locked="0" layoutInCell="1" allowOverlap="1" wp14:anchorId="3D07363B" wp14:editId="58B85544">
                <wp:simplePos x="0" y="0"/>
                <wp:positionH relativeFrom="column">
                  <wp:posOffset>187325</wp:posOffset>
                </wp:positionH>
                <wp:positionV relativeFrom="paragraph">
                  <wp:posOffset>-74295</wp:posOffset>
                </wp:positionV>
                <wp:extent cx="1348740" cy="449580"/>
                <wp:effectExtent l="0" t="0" r="3810" b="7620"/>
                <wp:wrapNone/>
                <wp:docPr id="12" name="صورة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صورة 12"/>
                        <pic:cNvPicPr/>
                      </pic:nvPicPr>
                      <pic:blipFill>
                        <a:blip r:embed="rId3">
                          <a:extLst>
                            <a:ext uri="{28A0092B-C50C-407E-A947-70E740481C1C}">
                              <a14:useLocalDpi xmlns:a14="http://schemas.microsoft.com/office/drawing/2010/main" val="0"/>
                            </a:ext>
                          </a:extLst>
                        </a:blip>
                        <a:stretch>
                          <a:fillRect/>
                        </a:stretch>
                      </pic:blipFill>
                      <pic:spPr>
                        <a:xfrm>
                          <a:off x="0" y="0"/>
                          <a:ext cx="1348740" cy="449580"/>
                        </a:xfrm>
                        <a:prstGeom prst="rect">
                          <a:avLst/>
                        </a:prstGeom>
                      </pic:spPr>
                    </pic:pic>
                  </a:graphicData>
                </a:graphic>
              </wp:anchor>
            </w:drawing>
          </w:r>
        </w:p>
      </w:tc>
    </w:tr>
  </w:tbl>
  <w:p w14:paraId="38F4657D" w14:textId="77777777" w:rsidR="00D43A2B" w:rsidRDefault="00000000">
    <w:pPr>
      <w:pStyle w:val="a3"/>
    </w:pPr>
    <w:r>
      <w:rPr>
        <w:noProof/>
      </w:rPr>
      <w:pict w14:anchorId="7C2732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784765" o:spid="_x0000_s1040" type="#_x0000_t75" style="position:absolute;margin-left:0;margin-top:0;width:84.2pt;height:28.05pt;z-index:-251658752;mso-position-horizontal:center;mso-position-horizontal-relative:margin;mso-position-vertical:center;mso-position-vertical-relative:margin" o:allowincell="f">
          <v:imagedata r:id="rId4" o:title="0906" gain="19661f" blacklevel="22938f"/>
          <w10:wrap anchorx="margin" anchory="margin"/>
        </v:shape>
      </w:pict>
    </w:r>
  </w:p>
  <w:tbl>
    <w:tblPr>
      <w:bidiVisual/>
      <w:tblW w:w="4654" w:type="pct"/>
      <w:jc w:val="right"/>
      <w:shd w:val="clear" w:color="auto" w:fill="1F4E79" w:themeFill="accent1" w:themeFillShade="80"/>
      <w:tblCellMar>
        <w:top w:w="115" w:type="dxa"/>
        <w:left w:w="115" w:type="dxa"/>
        <w:bottom w:w="115" w:type="dxa"/>
        <w:right w:w="115" w:type="dxa"/>
      </w:tblCellMar>
      <w:tblLook w:val="04A0" w:firstRow="1" w:lastRow="0" w:firstColumn="1" w:lastColumn="0" w:noHBand="0" w:noVBand="1"/>
    </w:tblPr>
    <w:tblGrid>
      <w:gridCol w:w="8972"/>
    </w:tblGrid>
    <w:tr w:rsidR="005565E5" w:rsidRPr="00D43A2B" w14:paraId="232B2493" w14:textId="77777777" w:rsidTr="005565E5">
      <w:trPr>
        <w:jc w:val="right"/>
      </w:trPr>
      <w:tc>
        <w:tcPr>
          <w:tcW w:w="0" w:type="auto"/>
          <w:shd w:val="clear" w:color="auto" w:fill="1F4E79" w:themeFill="accent1" w:themeFillShade="80"/>
          <w:vAlign w:val="center"/>
        </w:tcPr>
        <w:p w14:paraId="12E62BCD" w14:textId="019566D2" w:rsidR="005565E5" w:rsidRPr="005565E5" w:rsidRDefault="00000000" w:rsidP="005565E5">
          <w:pPr>
            <w:pStyle w:val="a3"/>
            <w:shd w:val="clear" w:color="auto" w:fill="00B0F0"/>
            <w:jc w:val="center"/>
            <w:rPr>
              <w:rFonts w:cstheme="minorHAnsi"/>
              <w:b/>
              <w:bCs/>
              <w:caps/>
              <w:color w:val="F4B083" w:themeColor="accent2" w:themeTint="99"/>
            </w:rPr>
          </w:pPr>
          <w:sdt>
            <w:sdtPr>
              <w:rPr>
                <w:rFonts w:eastAsia="SimSun" w:cstheme="minorHAnsi"/>
                <w:b/>
                <w:bCs/>
                <w:iCs/>
                <w:noProof/>
                <w:sz w:val="20"/>
                <w:szCs w:val="20"/>
              </w:rPr>
              <w:alias w:val="العنوان"/>
              <w:tag w:val=""/>
              <w:id w:val="-362279469"/>
              <w:placeholder>
                <w:docPart w:val="C3C8F5CF9B234C8C8172A3C2E5012D7F"/>
              </w:placeholder>
            </w:sdtPr>
            <w:sdtContent>
              <w:r w:rsidR="005565E5" w:rsidRPr="005565E5">
                <w:rPr>
                  <w:rFonts w:asciiTheme="majorBidi" w:eastAsia="SimSun" w:hAnsiTheme="majorBidi" w:cstheme="majorBidi"/>
                  <w:b/>
                  <w:bCs/>
                  <w:iCs/>
                  <w:noProof/>
                  <w:sz w:val="20"/>
                  <w:szCs w:val="20"/>
                </w:rPr>
                <w:t xml:space="preserve">Article history : Received </w:t>
              </w:r>
              <w:r w:rsidR="00D10038">
                <w:rPr>
                  <w:rFonts w:asciiTheme="majorBidi" w:eastAsia="SimSun" w:hAnsiTheme="majorBidi" w:cstheme="majorBidi"/>
                  <w:b/>
                  <w:bCs/>
                  <w:iCs/>
                  <w:noProof/>
                  <w:sz w:val="20"/>
                  <w:szCs w:val="20"/>
                </w:rPr>
                <w:t>JUNE</w:t>
              </w:r>
              <w:r w:rsidR="005565E5" w:rsidRPr="005565E5">
                <w:rPr>
                  <w:rFonts w:asciiTheme="majorBidi" w:eastAsia="SimSun" w:hAnsiTheme="majorBidi" w:cstheme="majorBidi"/>
                  <w:b/>
                  <w:bCs/>
                  <w:iCs/>
                  <w:noProof/>
                  <w:sz w:val="20"/>
                  <w:szCs w:val="20"/>
                </w:rPr>
                <w:t xml:space="preserve"> </w:t>
              </w:r>
              <w:r w:rsidR="00D10038">
                <w:rPr>
                  <w:rFonts w:asciiTheme="majorBidi" w:eastAsia="SimSun" w:hAnsiTheme="majorBidi" w:cstheme="majorBidi" w:hint="cs"/>
                  <w:b/>
                  <w:bCs/>
                  <w:i/>
                  <w:noProof/>
                  <w:sz w:val="20"/>
                  <w:szCs w:val="20"/>
                  <w:rtl/>
                </w:rPr>
                <w:t>2026</w:t>
              </w:r>
              <w:r w:rsidR="005565E5" w:rsidRPr="005565E5">
                <w:rPr>
                  <w:rFonts w:asciiTheme="majorBidi" w:eastAsia="SimSun" w:hAnsiTheme="majorBidi" w:cstheme="majorBidi"/>
                  <w:b/>
                  <w:bCs/>
                  <w:iCs/>
                  <w:noProof/>
                  <w:sz w:val="20"/>
                  <w:szCs w:val="20"/>
                </w:rPr>
                <w:t xml:space="preserve">  -   Accepted </w:t>
              </w:r>
              <w:r w:rsidR="00AB6C11">
                <w:rPr>
                  <w:rFonts w:asciiTheme="majorBidi" w:eastAsia="SimSun" w:hAnsiTheme="majorBidi" w:cstheme="majorBidi"/>
                  <w:b/>
                  <w:bCs/>
                  <w:iCs/>
                  <w:noProof/>
                  <w:sz w:val="20"/>
                  <w:szCs w:val="20"/>
                </w:rPr>
                <w:t>30</w:t>
              </w:r>
              <w:r w:rsidR="005565E5" w:rsidRPr="005565E5">
                <w:rPr>
                  <w:rFonts w:asciiTheme="majorBidi" w:eastAsia="SimSun" w:hAnsiTheme="majorBidi" w:cstheme="majorBidi"/>
                  <w:b/>
                  <w:bCs/>
                  <w:iCs/>
                  <w:noProof/>
                  <w:sz w:val="20"/>
                  <w:szCs w:val="20"/>
                </w:rPr>
                <w:t xml:space="preserve"> </w:t>
              </w:r>
              <w:r w:rsidR="00AB6C11">
                <w:rPr>
                  <w:rFonts w:asciiTheme="majorBidi" w:eastAsia="SimSun" w:hAnsiTheme="majorBidi" w:cstheme="majorBidi"/>
                  <w:b/>
                  <w:bCs/>
                  <w:iCs/>
                  <w:noProof/>
                  <w:sz w:val="20"/>
                  <w:szCs w:val="20"/>
                </w:rPr>
                <w:t>JULY</w:t>
              </w:r>
              <w:r w:rsidR="005565E5" w:rsidRPr="005565E5">
                <w:rPr>
                  <w:rFonts w:asciiTheme="majorBidi" w:eastAsia="SimSun" w:hAnsiTheme="majorBidi" w:cstheme="majorBidi"/>
                  <w:b/>
                  <w:bCs/>
                  <w:iCs/>
                  <w:noProof/>
                  <w:sz w:val="20"/>
                  <w:szCs w:val="20"/>
                </w:rPr>
                <w:t xml:space="preserve"> </w:t>
              </w:r>
              <w:r w:rsidR="0071714B">
                <w:rPr>
                  <w:rFonts w:asciiTheme="majorBidi" w:eastAsia="SimSun" w:hAnsiTheme="majorBidi" w:cstheme="majorBidi" w:hint="cs"/>
                  <w:b/>
                  <w:bCs/>
                  <w:i/>
                  <w:noProof/>
                  <w:sz w:val="20"/>
                  <w:szCs w:val="20"/>
                  <w:rtl/>
                </w:rPr>
                <w:t>2026</w:t>
              </w:r>
            </w:sdtContent>
          </w:sdt>
        </w:p>
      </w:tc>
    </w:tr>
  </w:tbl>
  <w:p w14:paraId="4926F1B8" w14:textId="77777777" w:rsidR="005565E5" w:rsidRDefault="005565E5">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457FA"/>
    <w:multiLevelType w:val="hybridMultilevel"/>
    <w:tmpl w:val="2B6E681E"/>
    <w:lvl w:ilvl="0" w:tplc="FFFFFFFF">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E9032B"/>
    <w:multiLevelType w:val="hybridMultilevel"/>
    <w:tmpl w:val="6CD20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CA28A1"/>
    <w:multiLevelType w:val="hybridMultilevel"/>
    <w:tmpl w:val="591ABFBE"/>
    <w:lvl w:ilvl="0" w:tplc="9C063700">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3D3F66"/>
    <w:multiLevelType w:val="hybridMultilevel"/>
    <w:tmpl w:val="407C66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0DC7A48"/>
    <w:multiLevelType w:val="hybridMultilevel"/>
    <w:tmpl w:val="D742C1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970D21"/>
    <w:multiLevelType w:val="hybridMultilevel"/>
    <w:tmpl w:val="CD583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29149F"/>
    <w:multiLevelType w:val="hybridMultilevel"/>
    <w:tmpl w:val="96E0A3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F71C3F"/>
    <w:multiLevelType w:val="hybridMultilevel"/>
    <w:tmpl w:val="897AB2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62374D"/>
    <w:multiLevelType w:val="hybridMultilevel"/>
    <w:tmpl w:val="A1108E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0F2358"/>
    <w:multiLevelType w:val="hybridMultilevel"/>
    <w:tmpl w:val="5630D8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3F67DA"/>
    <w:multiLevelType w:val="multilevel"/>
    <w:tmpl w:val="C6F2E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1B82B5E"/>
    <w:multiLevelType w:val="hybridMultilevel"/>
    <w:tmpl w:val="D46002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6123CE"/>
    <w:multiLevelType w:val="hybridMultilevel"/>
    <w:tmpl w:val="A2AAC2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8862206"/>
    <w:multiLevelType w:val="hybridMultilevel"/>
    <w:tmpl w:val="DEC610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C891303"/>
    <w:multiLevelType w:val="hybridMultilevel"/>
    <w:tmpl w:val="A16E76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D564312"/>
    <w:multiLevelType w:val="hybridMultilevel"/>
    <w:tmpl w:val="80B8AD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DE543E8"/>
    <w:multiLevelType w:val="hybridMultilevel"/>
    <w:tmpl w:val="96944F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A264795"/>
    <w:multiLevelType w:val="hybridMultilevel"/>
    <w:tmpl w:val="DD84BD98"/>
    <w:lvl w:ilvl="0" w:tplc="F2FEB1BA">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C27477A"/>
    <w:multiLevelType w:val="multilevel"/>
    <w:tmpl w:val="C23AB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DCA79FB"/>
    <w:multiLevelType w:val="hybridMultilevel"/>
    <w:tmpl w:val="CE2615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F0A6735"/>
    <w:multiLevelType w:val="hybridMultilevel"/>
    <w:tmpl w:val="33C687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1893B8D"/>
    <w:multiLevelType w:val="hybridMultilevel"/>
    <w:tmpl w:val="A8ECFF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51A15332"/>
    <w:multiLevelType w:val="multilevel"/>
    <w:tmpl w:val="DAF0E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3261C89"/>
    <w:multiLevelType w:val="hybridMultilevel"/>
    <w:tmpl w:val="E3F0F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45037F7"/>
    <w:multiLevelType w:val="hybridMultilevel"/>
    <w:tmpl w:val="5D8E85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56205803"/>
    <w:multiLevelType w:val="multilevel"/>
    <w:tmpl w:val="1E2855A8"/>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26" w15:restartNumberingAfterBreak="0">
    <w:nsid w:val="600F5B3D"/>
    <w:multiLevelType w:val="multilevel"/>
    <w:tmpl w:val="F222A1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2941D2E"/>
    <w:multiLevelType w:val="hybridMultilevel"/>
    <w:tmpl w:val="590A5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EDA7F82"/>
    <w:multiLevelType w:val="hybridMultilevel"/>
    <w:tmpl w:val="D62CD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1081601"/>
    <w:multiLevelType w:val="hybridMultilevel"/>
    <w:tmpl w:val="98EAAF84"/>
    <w:lvl w:ilvl="0" w:tplc="9C063700">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17E3D91"/>
    <w:multiLevelType w:val="hybridMultilevel"/>
    <w:tmpl w:val="4F10AE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1885170"/>
    <w:multiLevelType w:val="hybridMultilevel"/>
    <w:tmpl w:val="EDB870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2A5021A"/>
    <w:multiLevelType w:val="hybridMultilevel"/>
    <w:tmpl w:val="A9D252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15:restartNumberingAfterBreak="0">
    <w:nsid w:val="74AA715F"/>
    <w:multiLevelType w:val="hybridMultilevel"/>
    <w:tmpl w:val="50704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661453B"/>
    <w:multiLevelType w:val="hybridMultilevel"/>
    <w:tmpl w:val="7924FC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CB20E06"/>
    <w:multiLevelType w:val="hybridMultilevel"/>
    <w:tmpl w:val="B91E63A6"/>
    <w:lvl w:ilvl="0" w:tplc="76283B8C">
      <w:start w:val="1"/>
      <w:numFmt w:val="decimal"/>
      <w:lvlText w:val="%1."/>
      <w:lvlJc w:val="left"/>
      <w:pPr>
        <w:ind w:left="720" w:hanging="360"/>
      </w:pPr>
      <w:rPr>
        <w:rFont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39811302">
    <w:abstractNumId w:val="25"/>
  </w:num>
  <w:num w:numId="2" w16cid:durableId="389420682">
    <w:abstractNumId w:val="35"/>
  </w:num>
  <w:num w:numId="3" w16cid:durableId="566454947">
    <w:abstractNumId w:val="33"/>
  </w:num>
  <w:num w:numId="4" w16cid:durableId="92752471">
    <w:abstractNumId w:val="24"/>
  </w:num>
  <w:num w:numId="5" w16cid:durableId="1464692818">
    <w:abstractNumId w:val="6"/>
  </w:num>
  <w:num w:numId="6" w16cid:durableId="1739286675">
    <w:abstractNumId w:val="34"/>
  </w:num>
  <w:num w:numId="7" w16cid:durableId="1029064239">
    <w:abstractNumId w:val="21"/>
  </w:num>
  <w:num w:numId="8" w16cid:durableId="1142648679">
    <w:abstractNumId w:val="3"/>
  </w:num>
  <w:num w:numId="9" w16cid:durableId="1863082650">
    <w:abstractNumId w:val="26"/>
  </w:num>
  <w:num w:numId="10" w16cid:durableId="321154958">
    <w:abstractNumId w:val="31"/>
  </w:num>
  <w:num w:numId="11" w16cid:durableId="871843366">
    <w:abstractNumId w:val="13"/>
  </w:num>
  <w:num w:numId="12" w16cid:durableId="1493911615">
    <w:abstractNumId w:val="14"/>
  </w:num>
  <w:num w:numId="13" w16cid:durableId="1545483828">
    <w:abstractNumId w:val="15"/>
  </w:num>
  <w:num w:numId="14" w16cid:durableId="442459464">
    <w:abstractNumId w:val="30"/>
  </w:num>
  <w:num w:numId="15" w16cid:durableId="983923801">
    <w:abstractNumId w:val="16"/>
  </w:num>
  <w:num w:numId="16" w16cid:durableId="391780090">
    <w:abstractNumId w:val="19"/>
  </w:num>
  <w:num w:numId="17" w16cid:durableId="1768696350">
    <w:abstractNumId w:val="28"/>
  </w:num>
  <w:num w:numId="18" w16cid:durableId="467170891">
    <w:abstractNumId w:val="9"/>
  </w:num>
  <w:num w:numId="19" w16cid:durableId="446781484">
    <w:abstractNumId w:val="20"/>
  </w:num>
  <w:num w:numId="20" w16cid:durableId="576281128">
    <w:abstractNumId w:val="12"/>
  </w:num>
  <w:num w:numId="21" w16cid:durableId="1436562909">
    <w:abstractNumId w:val="23"/>
  </w:num>
  <w:num w:numId="22" w16cid:durableId="2110465281">
    <w:abstractNumId w:val="0"/>
  </w:num>
  <w:num w:numId="23" w16cid:durableId="2001349280">
    <w:abstractNumId w:val="1"/>
  </w:num>
  <w:num w:numId="24" w16cid:durableId="1124467171">
    <w:abstractNumId w:val="27"/>
  </w:num>
  <w:num w:numId="25" w16cid:durableId="906955757">
    <w:abstractNumId w:val="11"/>
  </w:num>
  <w:num w:numId="26" w16cid:durableId="1340742780">
    <w:abstractNumId w:val="32"/>
  </w:num>
  <w:num w:numId="27" w16cid:durableId="584530743">
    <w:abstractNumId w:val="17"/>
  </w:num>
  <w:num w:numId="28" w16cid:durableId="543060190">
    <w:abstractNumId w:val="2"/>
  </w:num>
  <w:num w:numId="29" w16cid:durableId="782923392">
    <w:abstractNumId w:val="29"/>
  </w:num>
  <w:num w:numId="30" w16cid:durableId="1972978354">
    <w:abstractNumId w:val="7"/>
  </w:num>
  <w:num w:numId="31" w16cid:durableId="2141023148">
    <w:abstractNumId w:val="5"/>
  </w:num>
  <w:num w:numId="32" w16cid:durableId="1512986379">
    <w:abstractNumId w:val="4"/>
  </w:num>
  <w:num w:numId="33" w16cid:durableId="1475025527">
    <w:abstractNumId w:val="8"/>
  </w:num>
  <w:num w:numId="34" w16cid:durableId="430585445">
    <w:abstractNumId w:val="10"/>
  </w:num>
  <w:num w:numId="35" w16cid:durableId="1739747831">
    <w:abstractNumId w:val="22"/>
  </w:num>
  <w:num w:numId="36" w16cid:durableId="9799474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D91"/>
    <w:rsid w:val="00012A84"/>
    <w:rsid w:val="000132A0"/>
    <w:rsid w:val="0002716A"/>
    <w:rsid w:val="0003231E"/>
    <w:rsid w:val="000737BF"/>
    <w:rsid w:val="0009258E"/>
    <w:rsid w:val="0009439C"/>
    <w:rsid w:val="000A2763"/>
    <w:rsid w:val="000A3BEE"/>
    <w:rsid w:val="000D687D"/>
    <w:rsid w:val="000E4D09"/>
    <w:rsid w:val="001109DE"/>
    <w:rsid w:val="00115B73"/>
    <w:rsid w:val="00130CA6"/>
    <w:rsid w:val="001433A0"/>
    <w:rsid w:val="00147C61"/>
    <w:rsid w:val="00156E69"/>
    <w:rsid w:val="00161094"/>
    <w:rsid w:val="00167D77"/>
    <w:rsid w:val="00196300"/>
    <w:rsid w:val="001A172E"/>
    <w:rsid w:val="001B40C1"/>
    <w:rsid w:val="00207F72"/>
    <w:rsid w:val="002579D3"/>
    <w:rsid w:val="00296FE1"/>
    <w:rsid w:val="002C4D77"/>
    <w:rsid w:val="002F6B12"/>
    <w:rsid w:val="003008AA"/>
    <w:rsid w:val="00341FF3"/>
    <w:rsid w:val="003450C4"/>
    <w:rsid w:val="003A465F"/>
    <w:rsid w:val="003E541A"/>
    <w:rsid w:val="00427B38"/>
    <w:rsid w:val="0043533C"/>
    <w:rsid w:val="00440037"/>
    <w:rsid w:val="004B3CEB"/>
    <w:rsid w:val="004E6812"/>
    <w:rsid w:val="0055238B"/>
    <w:rsid w:val="005565E5"/>
    <w:rsid w:val="005731F9"/>
    <w:rsid w:val="005B2CEB"/>
    <w:rsid w:val="005B3ED5"/>
    <w:rsid w:val="005E7E8F"/>
    <w:rsid w:val="006103E2"/>
    <w:rsid w:val="0065374C"/>
    <w:rsid w:val="00662510"/>
    <w:rsid w:val="006741B5"/>
    <w:rsid w:val="006774A7"/>
    <w:rsid w:val="00683EA6"/>
    <w:rsid w:val="00693580"/>
    <w:rsid w:val="00697091"/>
    <w:rsid w:val="006A5034"/>
    <w:rsid w:val="006E71D3"/>
    <w:rsid w:val="0071714B"/>
    <w:rsid w:val="007274C1"/>
    <w:rsid w:val="00741310"/>
    <w:rsid w:val="00766F95"/>
    <w:rsid w:val="0078737C"/>
    <w:rsid w:val="0079479C"/>
    <w:rsid w:val="007A33BE"/>
    <w:rsid w:val="00821356"/>
    <w:rsid w:val="00833210"/>
    <w:rsid w:val="008901EA"/>
    <w:rsid w:val="008D0941"/>
    <w:rsid w:val="00916577"/>
    <w:rsid w:val="00975303"/>
    <w:rsid w:val="009D20FD"/>
    <w:rsid w:val="009D5A0F"/>
    <w:rsid w:val="009E051E"/>
    <w:rsid w:val="009E1C01"/>
    <w:rsid w:val="00A160CE"/>
    <w:rsid w:val="00A430EE"/>
    <w:rsid w:val="00A44D3D"/>
    <w:rsid w:val="00A5710D"/>
    <w:rsid w:val="00AB41E5"/>
    <w:rsid w:val="00AB6C11"/>
    <w:rsid w:val="00AF2407"/>
    <w:rsid w:val="00AF636C"/>
    <w:rsid w:val="00B45F26"/>
    <w:rsid w:val="00B67EE8"/>
    <w:rsid w:val="00B75951"/>
    <w:rsid w:val="00B8301D"/>
    <w:rsid w:val="00BA0B80"/>
    <w:rsid w:val="00BD0E1A"/>
    <w:rsid w:val="00C25D87"/>
    <w:rsid w:val="00C42EBE"/>
    <w:rsid w:val="00C614FD"/>
    <w:rsid w:val="00CA2C33"/>
    <w:rsid w:val="00CB1C91"/>
    <w:rsid w:val="00CB205A"/>
    <w:rsid w:val="00CC2581"/>
    <w:rsid w:val="00CF3ABE"/>
    <w:rsid w:val="00D10038"/>
    <w:rsid w:val="00D12E05"/>
    <w:rsid w:val="00D316B3"/>
    <w:rsid w:val="00D43A2B"/>
    <w:rsid w:val="00D43B24"/>
    <w:rsid w:val="00DA09C0"/>
    <w:rsid w:val="00DD6D95"/>
    <w:rsid w:val="00DE056D"/>
    <w:rsid w:val="00DE2B76"/>
    <w:rsid w:val="00E07A91"/>
    <w:rsid w:val="00E369E1"/>
    <w:rsid w:val="00E53C10"/>
    <w:rsid w:val="00E70BF9"/>
    <w:rsid w:val="00E94EA5"/>
    <w:rsid w:val="00F15BE1"/>
    <w:rsid w:val="00F21985"/>
    <w:rsid w:val="00F2474B"/>
    <w:rsid w:val="00F317EB"/>
    <w:rsid w:val="00F42544"/>
    <w:rsid w:val="00F47F66"/>
    <w:rsid w:val="00F53D91"/>
    <w:rsid w:val="00F54DD9"/>
    <w:rsid w:val="00F81A61"/>
    <w:rsid w:val="00F9116B"/>
    <w:rsid w:val="00FC3ED9"/>
    <w:rsid w:val="00FD4E3D"/>
    <w:rsid w:val="00FE54DE"/>
    <w:rsid w:val="00FF775C"/>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8CF045"/>
  <w15:docId w15:val="{AB9F8730-28ED-8D4C-8D8E-A06EBA153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B3CEB"/>
  </w:style>
  <w:style w:type="paragraph" w:styleId="1">
    <w:name w:val="heading 1"/>
    <w:basedOn w:val="a"/>
    <w:next w:val="a"/>
    <w:link w:val="1Char"/>
    <w:uiPriority w:val="9"/>
    <w:qFormat/>
    <w:rsid w:val="00427B38"/>
    <w:pPr>
      <w:bidi/>
      <w:spacing w:after="0" w:line="240" w:lineRule="auto"/>
      <w:jc w:val="right"/>
      <w:outlineLvl w:val="0"/>
    </w:pPr>
    <w:rPr>
      <w:rFonts w:ascii="Simplified Arabic" w:eastAsiaTheme="minorEastAsia" w:hAnsi="Simplified Arabic" w:cs="Simplified Arabic"/>
      <w:b/>
      <w:bCs/>
      <w:sz w:val="32"/>
      <w:szCs w:val="32"/>
    </w:rPr>
  </w:style>
  <w:style w:type="paragraph" w:styleId="2">
    <w:name w:val="heading 2"/>
    <w:basedOn w:val="a"/>
    <w:next w:val="a"/>
    <w:link w:val="2Char"/>
    <w:uiPriority w:val="9"/>
    <w:unhideWhenUsed/>
    <w:qFormat/>
    <w:rsid w:val="00427B38"/>
    <w:pPr>
      <w:keepNext/>
      <w:keepLines/>
      <w:bidi/>
      <w:spacing w:before="40" w:after="0" w:line="240" w:lineRule="auto"/>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Char"/>
    <w:uiPriority w:val="9"/>
    <w:unhideWhenUsed/>
    <w:qFormat/>
    <w:rsid w:val="00427B38"/>
    <w:pPr>
      <w:keepNext/>
      <w:keepLines/>
      <w:bidi/>
      <w:spacing w:before="40" w:after="0" w:line="240" w:lineRule="auto"/>
      <w:outlineLvl w:val="2"/>
    </w:pPr>
    <w:rPr>
      <w:rFonts w:asciiTheme="majorHAnsi" w:eastAsiaTheme="majorEastAsia" w:hAnsiTheme="majorHAnsi" w:cstheme="majorBidi"/>
      <w:color w:val="1F4E79" w:themeColor="accent1" w:themeShade="80"/>
      <w:sz w:val="24"/>
      <w:szCs w:val="24"/>
    </w:rPr>
  </w:style>
  <w:style w:type="paragraph" w:styleId="4">
    <w:name w:val="heading 4"/>
    <w:basedOn w:val="a"/>
    <w:next w:val="a"/>
    <w:link w:val="4Char"/>
    <w:uiPriority w:val="9"/>
    <w:semiHidden/>
    <w:unhideWhenUsed/>
    <w:qFormat/>
    <w:rsid w:val="00427B38"/>
    <w:pPr>
      <w:keepNext/>
      <w:keepLines/>
      <w:bidi/>
      <w:spacing w:before="40" w:after="0" w:line="240" w:lineRule="auto"/>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Char"/>
    <w:uiPriority w:val="9"/>
    <w:semiHidden/>
    <w:unhideWhenUsed/>
    <w:qFormat/>
    <w:rsid w:val="00427B38"/>
    <w:pPr>
      <w:keepNext/>
      <w:keepLines/>
      <w:bidi/>
      <w:spacing w:before="80" w:after="40" w:line="278" w:lineRule="auto"/>
      <w:outlineLvl w:val="4"/>
    </w:pPr>
    <w:rPr>
      <w:rFonts w:ascii="Aptos" w:eastAsia="Times New Roman" w:hAnsi="Aptos" w:cs="Times New Roman"/>
      <w:color w:val="0F4761"/>
      <w:kern w:val="2"/>
      <w:sz w:val="24"/>
      <w:szCs w:val="24"/>
    </w:rPr>
  </w:style>
  <w:style w:type="paragraph" w:styleId="6">
    <w:name w:val="heading 6"/>
    <w:basedOn w:val="a"/>
    <w:next w:val="a"/>
    <w:link w:val="6Char"/>
    <w:uiPriority w:val="9"/>
    <w:semiHidden/>
    <w:unhideWhenUsed/>
    <w:qFormat/>
    <w:rsid w:val="00427B38"/>
    <w:pPr>
      <w:keepNext/>
      <w:keepLines/>
      <w:bidi/>
      <w:spacing w:before="40" w:after="0" w:line="278" w:lineRule="auto"/>
      <w:outlineLvl w:val="5"/>
    </w:pPr>
    <w:rPr>
      <w:rFonts w:ascii="Aptos" w:eastAsia="Times New Roman" w:hAnsi="Aptos" w:cs="Times New Roman"/>
      <w:i/>
      <w:iCs/>
      <w:color w:val="595959"/>
      <w:kern w:val="2"/>
      <w:sz w:val="24"/>
      <w:szCs w:val="24"/>
    </w:rPr>
  </w:style>
  <w:style w:type="paragraph" w:styleId="7">
    <w:name w:val="heading 7"/>
    <w:basedOn w:val="a"/>
    <w:next w:val="a"/>
    <w:link w:val="7Char"/>
    <w:uiPriority w:val="9"/>
    <w:semiHidden/>
    <w:unhideWhenUsed/>
    <w:qFormat/>
    <w:rsid w:val="00427B38"/>
    <w:pPr>
      <w:keepNext/>
      <w:keepLines/>
      <w:bidi/>
      <w:spacing w:before="40" w:after="0" w:line="278" w:lineRule="auto"/>
      <w:outlineLvl w:val="6"/>
    </w:pPr>
    <w:rPr>
      <w:rFonts w:ascii="Aptos" w:eastAsia="Times New Roman" w:hAnsi="Aptos" w:cs="Times New Roman"/>
      <w:color w:val="595959"/>
      <w:kern w:val="2"/>
      <w:sz w:val="24"/>
      <w:szCs w:val="24"/>
    </w:rPr>
  </w:style>
  <w:style w:type="paragraph" w:styleId="8">
    <w:name w:val="heading 8"/>
    <w:basedOn w:val="a"/>
    <w:next w:val="a"/>
    <w:link w:val="8Char"/>
    <w:uiPriority w:val="9"/>
    <w:semiHidden/>
    <w:unhideWhenUsed/>
    <w:qFormat/>
    <w:rsid w:val="00427B38"/>
    <w:pPr>
      <w:keepNext/>
      <w:keepLines/>
      <w:bidi/>
      <w:spacing w:after="0" w:line="278" w:lineRule="auto"/>
      <w:outlineLvl w:val="7"/>
    </w:pPr>
    <w:rPr>
      <w:rFonts w:ascii="Aptos" w:eastAsia="Times New Roman" w:hAnsi="Aptos" w:cs="Times New Roman"/>
      <w:i/>
      <w:iCs/>
      <w:color w:val="272727"/>
      <w:kern w:val="2"/>
      <w:sz w:val="24"/>
      <w:szCs w:val="24"/>
    </w:rPr>
  </w:style>
  <w:style w:type="paragraph" w:styleId="9">
    <w:name w:val="heading 9"/>
    <w:basedOn w:val="a"/>
    <w:next w:val="a"/>
    <w:link w:val="9Char"/>
    <w:uiPriority w:val="9"/>
    <w:semiHidden/>
    <w:unhideWhenUsed/>
    <w:qFormat/>
    <w:rsid w:val="00427B38"/>
    <w:pPr>
      <w:keepNext/>
      <w:keepLines/>
      <w:bidi/>
      <w:spacing w:after="0" w:line="278" w:lineRule="auto"/>
      <w:outlineLvl w:val="8"/>
    </w:pPr>
    <w:rPr>
      <w:rFonts w:ascii="Aptos" w:eastAsia="Times New Roman" w:hAnsi="Aptos" w:cs="Times New Roman"/>
      <w:color w:val="272727"/>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1"/>
    <w:uiPriority w:val="99"/>
    <w:unhideWhenUsed/>
    <w:qFormat/>
    <w:rsid w:val="000D687D"/>
    <w:pPr>
      <w:tabs>
        <w:tab w:val="center" w:pos="4680"/>
        <w:tab w:val="right" w:pos="9360"/>
      </w:tabs>
      <w:spacing w:after="0" w:line="240" w:lineRule="auto"/>
    </w:pPr>
  </w:style>
  <w:style w:type="character" w:customStyle="1" w:styleId="Char1">
    <w:name w:val="رأس الصفحة Char1"/>
    <w:basedOn w:val="a0"/>
    <w:link w:val="a3"/>
    <w:uiPriority w:val="99"/>
    <w:qFormat/>
    <w:rsid w:val="000D687D"/>
  </w:style>
  <w:style w:type="paragraph" w:styleId="a4">
    <w:name w:val="footer"/>
    <w:basedOn w:val="a"/>
    <w:link w:val="Char10"/>
    <w:uiPriority w:val="99"/>
    <w:unhideWhenUsed/>
    <w:qFormat/>
    <w:rsid w:val="000D687D"/>
    <w:pPr>
      <w:tabs>
        <w:tab w:val="center" w:pos="4680"/>
        <w:tab w:val="right" w:pos="9360"/>
      </w:tabs>
      <w:spacing w:after="0" w:line="240" w:lineRule="auto"/>
    </w:pPr>
  </w:style>
  <w:style w:type="character" w:customStyle="1" w:styleId="Char10">
    <w:name w:val="تذييل الصفحة Char1"/>
    <w:basedOn w:val="a0"/>
    <w:link w:val="a4"/>
    <w:uiPriority w:val="99"/>
    <w:qFormat/>
    <w:rsid w:val="000D687D"/>
  </w:style>
  <w:style w:type="table" w:customStyle="1" w:styleId="10">
    <w:name w:val="شبكة جدول1"/>
    <w:basedOn w:val="a1"/>
    <w:next w:val="a5"/>
    <w:rsid w:val="000D687D"/>
    <w:pPr>
      <w:spacing w:after="0" w:line="240" w:lineRule="auto"/>
    </w:pPr>
    <w:rPr>
      <w:rFonts w:eastAsia="Times New Roman"/>
      <w:lang w:val="en-GB"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5">
    <w:name w:val="Table Grid"/>
    <w:basedOn w:val="a1"/>
    <w:uiPriority w:val="59"/>
    <w:rsid w:val="000D68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ls-1storder-head">
    <w:name w:val="Els-1storder-head"/>
    <w:next w:val="a"/>
    <w:rsid w:val="00207F72"/>
    <w:pPr>
      <w:keepNext/>
      <w:numPr>
        <w:numId w:val="1"/>
      </w:numPr>
      <w:pBdr>
        <w:top w:val="single" w:sz="18" w:space="1" w:color="auto"/>
      </w:pBdr>
      <w:suppressAutoHyphens/>
      <w:spacing w:before="230" w:after="230" w:line="230" w:lineRule="exact"/>
    </w:pPr>
    <w:rPr>
      <w:rFonts w:ascii="Times New Roman" w:eastAsia="SimSun" w:hAnsi="Times New Roman" w:cs="Times New Roman"/>
      <w:b/>
      <w:sz w:val="19"/>
      <w:szCs w:val="20"/>
    </w:rPr>
  </w:style>
  <w:style w:type="paragraph" w:customStyle="1" w:styleId="Els-2ndorder-head">
    <w:name w:val="Els-2ndorder-head"/>
    <w:next w:val="a"/>
    <w:rsid w:val="00207F72"/>
    <w:pPr>
      <w:keepNext/>
      <w:numPr>
        <w:ilvl w:val="1"/>
        <w:numId w:val="1"/>
      </w:numPr>
      <w:suppressAutoHyphens/>
      <w:spacing w:before="230" w:after="230" w:line="230" w:lineRule="exact"/>
    </w:pPr>
    <w:rPr>
      <w:rFonts w:ascii="Times New Roman" w:eastAsia="SimSun" w:hAnsi="Times New Roman" w:cs="Times New Roman"/>
      <w:b/>
      <w:i/>
      <w:sz w:val="17"/>
      <w:szCs w:val="20"/>
    </w:rPr>
  </w:style>
  <w:style w:type="paragraph" w:customStyle="1" w:styleId="Els-3rdorder-head">
    <w:name w:val="Els-3rdorder-head"/>
    <w:next w:val="a"/>
    <w:rsid w:val="00207F72"/>
    <w:pPr>
      <w:keepNext/>
      <w:numPr>
        <w:ilvl w:val="2"/>
        <w:numId w:val="1"/>
      </w:numPr>
      <w:suppressAutoHyphens/>
      <w:spacing w:before="240" w:after="0" w:line="240" w:lineRule="exact"/>
    </w:pPr>
    <w:rPr>
      <w:rFonts w:ascii="Times New Roman" w:eastAsia="SimSun" w:hAnsi="Times New Roman" w:cs="Times New Roman"/>
      <w:i/>
      <w:sz w:val="20"/>
      <w:szCs w:val="20"/>
    </w:rPr>
  </w:style>
  <w:style w:type="paragraph" w:customStyle="1" w:styleId="Els-4thorder-head">
    <w:name w:val="Els-4thorder-head"/>
    <w:next w:val="a"/>
    <w:rsid w:val="00207F72"/>
    <w:pPr>
      <w:keepNext/>
      <w:numPr>
        <w:ilvl w:val="3"/>
        <w:numId w:val="1"/>
      </w:numPr>
      <w:suppressAutoHyphens/>
      <w:spacing w:before="240" w:after="0" w:line="240" w:lineRule="exact"/>
    </w:pPr>
    <w:rPr>
      <w:rFonts w:ascii="Times New Roman" w:eastAsia="SimSun" w:hAnsi="Times New Roman" w:cs="Times New Roman"/>
      <w:i/>
      <w:sz w:val="20"/>
      <w:szCs w:val="20"/>
    </w:rPr>
  </w:style>
  <w:style w:type="character" w:styleId="a6">
    <w:name w:val="Placeholder Text"/>
    <w:basedOn w:val="a0"/>
    <w:uiPriority w:val="99"/>
    <w:semiHidden/>
    <w:rsid w:val="00B75951"/>
    <w:rPr>
      <w:color w:val="808080"/>
    </w:rPr>
  </w:style>
  <w:style w:type="paragraph" w:customStyle="1" w:styleId="Els-history-head">
    <w:name w:val="Els-history-head"/>
    <w:basedOn w:val="a"/>
    <w:qFormat/>
    <w:rsid w:val="00D43A2B"/>
    <w:pPr>
      <w:pBdr>
        <w:top w:val="single" w:sz="4" w:space="1" w:color="auto"/>
      </w:pBdr>
      <w:spacing w:after="0" w:line="230" w:lineRule="exact"/>
    </w:pPr>
    <w:rPr>
      <w:rFonts w:ascii="Times New Roman" w:eastAsia="SimSun" w:hAnsi="Times New Roman" w:cs="Times New Roman"/>
      <w:i/>
      <w:noProof/>
      <w:sz w:val="15"/>
      <w:szCs w:val="20"/>
    </w:rPr>
  </w:style>
  <w:style w:type="paragraph" w:styleId="a7">
    <w:name w:val="List Paragraph"/>
    <w:basedOn w:val="a"/>
    <w:uiPriority w:val="34"/>
    <w:qFormat/>
    <w:rsid w:val="00D316B3"/>
    <w:pPr>
      <w:ind w:left="720"/>
      <w:contextualSpacing/>
    </w:pPr>
  </w:style>
  <w:style w:type="paragraph" w:styleId="a8">
    <w:name w:val="Balloon Text"/>
    <w:basedOn w:val="a"/>
    <w:link w:val="Char"/>
    <w:uiPriority w:val="99"/>
    <w:semiHidden/>
    <w:unhideWhenUsed/>
    <w:qFormat/>
    <w:rsid w:val="008901EA"/>
    <w:pPr>
      <w:spacing w:after="0" w:line="240" w:lineRule="auto"/>
    </w:pPr>
    <w:rPr>
      <w:rFonts w:ascii="Tahoma" w:hAnsi="Tahoma" w:cs="Tahoma"/>
      <w:sz w:val="16"/>
      <w:szCs w:val="16"/>
    </w:rPr>
  </w:style>
  <w:style w:type="character" w:customStyle="1" w:styleId="Char">
    <w:name w:val="نص في بالون Char"/>
    <w:basedOn w:val="a0"/>
    <w:link w:val="a8"/>
    <w:uiPriority w:val="99"/>
    <w:semiHidden/>
    <w:qFormat/>
    <w:rsid w:val="008901EA"/>
    <w:rPr>
      <w:rFonts w:ascii="Tahoma" w:hAnsi="Tahoma" w:cs="Tahoma"/>
      <w:sz w:val="16"/>
      <w:szCs w:val="16"/>
    </w:rPr>
  </w:style>
  <w:style w:type="character" w:customStyle="1" w:styleId="1Char">
    <w:name w:val="العنوان 1 Char"/>
    <w:basedOn w:val="a0"/>
    <w:link w:val="1"/>
    <w:uiPriority w:val="9"/>
    <w:qFormat/>
    <w:rsid w:val="00427B38"/>
    <w:rPr>
      <w:rFonts w:ascii="Simplified Arabic" w:eastAsiaTheme="minorEastAsia" w:hAnsi="Simplified Arabic" w:cs="Simplified Arabic"/>
      <w:b/>
      <w:bCs/>
      <w:sz w:val="32"/>
      <w:szCs w:val="32"/>
    </w:rPr>
  </w:style>
  <w:style w:type="character" w:customStyle="1" w:styleId="2Char">
    <w:name w:val="عنوان 2 Char"/>
    <w:basedOn w:val="a0"/>
    <w:link w:val="2"/>
    <w:uiPriority w:val="9"/>
    <w:qFormat/>
    <w:rsid w:val="00427B38"/>
    <w:rPr>
      <w:rFonts w:asciiTheme="majorHAnsi" w:eastAsiaTheme="majorEastAsia" w:hAnsiTheme="majorHAnsi" w:cstheme="majorBidi"/>
      <w:color w:val="2E74B5" w:themeColor="accent1" w:themeShade="BF"/>
      <w:sz w:val="26"/>
      <w:szCs w:val="26"/>
    </w:rPr>
  </w:style>
  <w:style w:type="character" w:customStyle="1" w:styleId="3Char">
    <w:name w:val="عنوان 3 Char"/>
    <w:basedOn w:val="a0"/>
    <w:link w:val="3"/>
    <w:uiPriority w:val="9"/>
    <w:qFormat/>
    <w:rsid w:val="00427B38"/>
    <w:rPr>
      <w:rFonts w:asciiTheme="majorHAnsi" w:eastAsiaTheme="majorEastAsia" w:hAnsiTheme="majorHAnsi" w:cstheme="majorBidi"/>
      <w:color w:val="1F4E79" w:themeColor="accent1" w:themeShade="80"/>
      <w:sz w:val="24"/>
      <w:szCs w:val="24"/>
    </w:rPr>
  </w:style>
  <w:style w:type="character" w:customStyle="1" w:styleId="4Char">
    <w:name w:val="عنوان 4 Char"/>
    <w:basedOn w:val="a0"/>
    <w:link w:val="4"/>
    <w:uiPriority w:val="9"/>
    <w:semiHidden/>
    <w:qFormat/>
    <w:rsid w:val="00427B38"/>
    <w:rPr>
      <w:rFonts w:asciiTheme="majorHAnsi" w:eastAsiaTheme="majorEastAsia" w:hAnsiTheme="majorHAnsi" w:cstheme="majorBidi"/>
      <w:i/>
      <w:iCs/>
      <w:color w:val="2E74B5" w:themeColor="accent1" w:themeShade="BF"/>
    </w:rPr>
  </w:style>
  <w:style w:type="character" w:customStyle="1" w:styleId="5Char">
    <w:name w:val="عنوان 5 Char"/>
    <w:basedOn w:val="a0"/>
    <w:link w:val="5"/>
    <w:uiPriority w:val="9"/>
    <w:semiHidden/>
    <w:rsid w:val="00427B38"/>
    <w:rPr>
      <w:rFonts w:ascii="Aptos" w:eastAsia="Times New Roman" w:hAnsi="Aptos" w:cs="Times New Roman"/>
      <w:color w:val="0F4761"/>
      <w:kern w:val="2"/>
      <w:sz w:val="24"/>
      <w:szCs w:val="24"/>
    </w:rPr>
  </w:style>
  <w:style w:type="character" w:customStyle="1" w:styleId="6Char">
    <w:name w:val="عنوان 6 Char"/>
    <w:basedOn w:val="a0"/>
    <w:link w:val="6"/>
    <w:uiPriority w:val="9"/>
    <w:semiHidden/>
    <w:rsid w:val="00427B38"/>
    <w:rPr>
      <w:rFonts w:ascii="Aptos" w:eastAsia="Times New Roman" w:hAnsi="Aptos" w:cs="Times New Roman"/>
      <w:i/>
      <w:iCs/>
      <w:color w:val="595959"/>
      <w:kern w:val="2"/>
      <w:sz w:val="24"/>
      <w:szCs w:val="24"/>
    </w:rPr>
  </w:style>
  <w:style w:type="character" w:customStyle="1" w:styleId="7Char">
    <w:name w:val="عنوان 7 Char"/>
    <w:basedOn w:val="a0"/>
    <w:link w:val="7"/>
    <w:uiPriority w:val="9"/>
    <w:semiHidden/>
    <w:rsid w:val="00427B38"/>
    <w:rPr>
      <w:rFonts w:ascii="Aptos" w:eastAsia="Times New Roman" w:hAnsi="Aptos" w:cs="Times New Roman"/>
      <w:color w:val="595959"/>
      <w:kern w:val="2"/>
      <w:sz w:val="24"/>
      <w:szCs w:val="24"/>
    </w:rPr>
  </w:style>
  <w:style w:type="character" w:customStyle="1" w:styleId="8Char">
    <w:name w:val="عنوان 8 Char"/>
    <w:basedOn w:val="a0"/>
    <w:link w:val="8"/>
    <w:uiPriority w:val="9"/>
    <w:semiHidden/>
    <w:rsid w:val="00427B38"/>
    <w:rPr>
      <w:rFonts w:ascii="Aptos" w:eastAsia="Times New Roman" w:hAnsi="Aptos" w:cs="Times New Roman"/>
      <w:i/>
      <w:iCs/>
      <w:color w:val="272727"/>
      <w:kern w:val="2"/>
      <w:sz w:val="24"/>
      <w:szCs w:val="24"/>
    </w:rPr>
  </w:style>
  <w:style w:type="character" w:customStyle="1" w:styleId="9Char">
    <w:name w:val="عنوان 9 Char"/>
    <w:basedOn w:val="a0"/>
    <w:link w:val="9"/>
    <w:uiPriority w:val="9"/>
    <w:semiHidden/>
    <w:rsid w:val="00427B38"/>
    <w:rPr>
      <w:rFonts w:ascii="Aptos" w:eastAsia="Times New Roman" w:hAnsi="Aptos" w:cs="Times New Roman"/>
      <w:color w:val="272727"/>
      <w:kern w:val="2"/>
      <w:sz w:val="24"/>
      <w:szCs w:val="24"/>
    </w:rPr>
  </w:style>
  <w:style w:type="character" w:styleId="a9">
    <w:name w:val="annotation reference"/>
    <w:basedOn w:val="a0"/>
    <w:uiPriority w:val="99"/>
    <w:semiHidden/>
    <w:unhideWhenUsed/>
    <w:qFormat/>
    <w:rsid w:val="00427B38"/>
    <w:rPr>
      <w:sz w:val="16"/>
      <w:szCs w:val="16"/>
    </w:rPr>
  </w:style>
  <w:style w:type="paragraph" w:styleId="aa">
    <w:name w:val="annotation text"/>
    <w:basedOn w:val="a"/>
    <w:link w:val="Char0"/>
    <w:uiPriority w:val="99"/>
    <w:semiHidden/>
    <w:unhideWhenUsed/>
    <w:qFormat/>
    <w:rsid w:val="00427B38"/>
    <w:pPr>
      <w:bidi/>
      <w:spacing w:after="0" w:line="240" w:lineRule="auto"/>
    </w:pPr>
    <w:rPr>
      <w:rFonts w:eastAsiaTheme="minorEastAsia"/>
      <w:sz w:val="20"/>
      <w:szCs w:val="20"/>
    </w:rPr>
  </w:style>
  <w:style w:type="character" w:customStyle="1" w:styleId="Char0">
    <w:name w:val="نص تعليق Char"/>
    <w:basedOn w:val="a0"/>
    <w:link w:val="aa"/>
    <w:uiPriority w:val="99"/>
    <w:semiHidden/>
    <w:qFormat/>
    <w:rsid w:val="00427B38"/>
    <w:rPr>
      <w:rFonts w:eastAsiaTheme="minorEastAsia"/>
      <w:sz w:val="20"/>
      <w:szCs w:val="20"/>
    </w:rPr>
  </w:style>
  <w:style w:type="paragraph" w:styleId="ab">
    <w:name w:val="annotation subject"/>
    <w:basedOn w:val="aa"/>
    <w:next w:val="aa"/>
    <w:link w:val="Char2"/>
    <w:uiPriority w:val="99"/>
    <w:semiHidden/>
    <w:unhideWhenUsed/>
    <w:qFormat/>
    <w:rsid w:val="00427B38"/>
    <w:rPr>
      <w:b/>
      <w:bCs/>
    </w:rPr>
  </w:style>
  <w:style w:type="character" w:customStyle="1" w:styleId="Char2">
    <w:name w:val="موضوع تعليق Char"/>
    <w:basedOn w:val="Char0"/>
    <w:link w:val="ab"/>
    <w:uiPriority w:val="99"/>
    <w:semiHidden/>
    <w:qFormat/>
    <w:rsid w:val="00427B38"/>
    <w:rPr>
      <w:rFonts w:eastAsiaTheme="minorEastAsia"/>
      <w:b/>
      <w:bCs/>
      <w:sz w:val="20"/>
      <w:szCs w:val="20"/>
    </w:rPr>
  </w:style>
  <w:style w:type="character" w:styleId="ac">
    <w:name w:val="Emphasis"/>
    <w:basedOn w:val="a0"/>
    <w:uiPriority w:val="20"/>
    <w:qFormat/>
    <w:rsid w:val="00427B38"/>
    <w:rPr>
      <w:i/>
      <w:iCs/>
    </w:rPr>
  </w:style>
  <w:style w:type="character" w:styleId="ad">
    <w:name w:val="endnote reference"/>
    <w:basedOn w:val="a0"/>
    <w:uiPriority w:val="99"/>
    <w:semiHidden/>
    <w:unhideWhenUsed/>
    <w:qFormat/>
    <w:rsid w:val="00427B38"/>
    <w:rPr>
      <w:vertAlign w:val="superscript"/>
    </w:rPr>
  </w:style>
  <w:style w:type="paragraph" w:styleId="ae">
    <w:name w:val="endnote text"/>
    <w:basedOn w:val="a"/>
    <w:link w:val="Char3"/>
    <w:uiPriority w:val="99"/>
    <w:semiHidden/>
    <w:unhideWhenUsed/>
    <w:qFormat/>
    <w:rsid w:val="00427B38"/>
    <w:pPr>
      <w:bidi/>
      <w:spacing w:after="0" w:line="240" w:lineRule="auto"/>
    </w:pPr>
    <w:rPr>
      <w:rFonts w:eastAsiaTheme="minorEastAsia"/>
      <w:sz w:val="20"/>
      <w:szCs w:val="20"/>
    </w:rPr>
  </w:style>
  <w:style w:type="character" w:customStyle="1" w:styleId="Char3">
    <w:name w:val="نص تعليق ختامي Char"/>
    <w:basedOn w:val="a0"/>
    <w:link w:val="ae"/>
    <w:uiPriority w:val="99"/>
    <w:semiHidden/>
    <w:qFormat/>
    <w:rsid w:val="00427B38"/>
    <w:rPr>
      <w:rFonts w:eastAsiaTheme="minorEastAsia"/>
      <w:sz w:val="20"/>
      <w:szCs w:val="20"/>
    </w:rPr>
  </w:style>
  <w:style w:type="character" w:styleId="af">
    <w:name w:val="FollowedHyperlink"/>
    <w:basedOn w:val="a0"/>
    <w:uiPriority w:val="99"/>
    <w:semiHidden/>
    <w:unhideWhenUsed/>
    <w:qFormat/>
    <w:rsid w:val="00427B38"/>
    <w:rPr>
      <w:color w:val="954F72" w:themeColor="followedHyperlink"/>
      <w:u w:val="single"/>
    </w:rPr>
  </w:style>
  <w:style w:type="character" w:styleId="af0">
    <w:name w:val="footnote reference"/>
    <w:basedOn w:val="a0"/>
    <w:uiPriority w:val="99"/>
    <w:unhideWhenUsed/>
    <w:qFormat/>
    <w:rsid w:val="00427B38"/>
    <w:rPr>
      <w:vertAlign w:val="superscript"/>
    </w:rPr>
  </w:style>
  <w:style w:type="paragraph" w:styleId="af1">
    <w:name w:val="footnote text"/>
    <w:basedOn w:val="a"/>
    <w:link w:val="Char4"/>
    <w:uiPriority w:val="99"/>
    <w:unhideWhenUsed/>
    <w:qFormat/>
    <w:rsid w:val="00427B38"/>
    <w:pPr>
      <w:bidi/>
      <w:spacing w:after="0" w:line="240" w:lineRule="auto"/>
    </w:pPr>
    <w:rPr>
      <w:rFonts w:eastAsiaTheme="minorEastAsia"/>
      <w:sz w:val="20"/>
      <w:szCs w:val="20"/>
    </w:rPr>
  </w:style>
  <w:style w:type="character" w:customStyle="1" w:styleId="Char4">
    <w:name w:val="نص حاشية سفلية Char"/>
    <w:basedOn w:val="a0"/>
    <w:link w:val="af1"/>
    <w:uiPriority w:val="99"/>
    <w:qFormat/>
    <w:rsid w:val="00427B38"/>
    <w:rPr>
      <w:rFonts w:eastAsiaTheme="minorEastAsia"/>
      <w:sz w:val="20"/>
      <w:szCs w:val="20"/>
    </w:rPr>
  </w:style>
  <w:style w:type="character" w:styleId="Hyperlink">
    <w:name w:val="Hyperlink"/>
    <w:basedOn w:val="a0"/>
    <w:uiPriority w:val="99"/>
    <w:unhideWhenUsed/>
    <w:qFormat/>
    <w:rsid w:val="00427B38"/>
    <w:rPr>
      <w:color w:val="0000FF"/>
      <w:u w:val="single"/>
    </w:rPr>
  </w:style>
  <w:style w:type="paragraph" w:styleId="af2">
    <w:name w:val="Normal (Web)"/>
    <w:basedOn w:val="a"/>
    <w:uiPriority w:val="99"/>
    <w:unhideWhenUsed/>
    <w:qFormat/>
    <w:rsid w:val="00427B38"/>
    <w:pPr>
      <w:bidi/>
      <w:spacing w:before="100" w:beforeAutospacing="1" w:after="100" w:afterAutospacing="1" w:line="240" w:lineRule="auto"/>
    </w:pPr>
    <w:rPr>
      <w:rFonts w:ascii="Times New Roman" w:eastAsia="Times New Roman" w:hAnsi="Times New Roman" w:cs="Times New Roman"/>
      <w:sz w:val="24"/>
      <w:szCs w:val="24"/>
    </w:rPr>
  </w:style>
  <w:style w:type="character" w:styleId="af3">
    <w:name w:val="Strong"/>
    <w:basedOn w:val="a0"/>
    <w:uiPriority w:val="22"/>
    <w:qFormat/>
    <w:rsid w:val="00427B38"/>
    <w:rPr>
      <w:b/>
      <w:bCs/>
    </w:rPr>
  </w:style>
  <w:style w:type="paragraph" w:styleId="af4">
    <w:name w:val="No Spacing"/>
    <w:uiPriority w:val="1"/>
    <w:qFormat/>
    <w:rsid w:val="00427B38"/>
    <w:pPr>
      <w:bidi/>
      <w:spacing w:after="0" w:line="240" w:lineRule="auto"/>
    </w:pPr>
    <w:rPr>
      <w:rFonts w:ascii="Simplified Arabic" w:eastAsiaTheme="minorEastAsia" w:hAnsi="Simplified Arabic"/>
      <w:sz w:val="28"/>
    </w:rPr>
  </w:style>
  <w:style w:type="paragraph" w:customStyle="1" w:styleId="Default">
    <w:name w:val="Default"/>
    <w:qFormat/>
    <w:rsid w:val="00427B38"/>
    <w:pPr>
      <w:autoSpaceDE w:val="0"/>
      <w:autoSpaceDN w:val="0"/>
      <w:bidi/>
      <w:adjustRightInd w:val="0"/>
      <w:spacing w:after="0" w:line="240" w:lineRule="auto"/>
    </w:pPr>
    <w:rPr>
      <w:rFonts w:ascii="Century Schoolbook" w:eastAsiaTheme="minorEastAsia" w:hAnsi="Century Schoolbook" w:cs="Century Schoolbook"/>
      <w:color w:val="000000"/>
      <w:sz w:val="24"/>
      <w:szCs w:val="24"/>
    </w:rPr>
  </w:style>
  <w:style w:type="paragraph" w:customStyle="1" w:styleId="CM73">
    <w:name w:val="CM73"/>
    <w:basedOn w:val="Default"/>
    <w:next w:val="Default"/>
    <w:uiPriority w:val="99"/>
    <w:qFormat/>
    <w:rsid w:val="00427B38"/>
    <w:pPr>
      <w:spacing w:line="263" w:lineRule="atLeast"/>
    </w:pPr>
    <w:rPr>
      <w:rFonts w:cstheme="minorBidi"/>
      <w:color w:val="auto"/>
    </w:rPr>
  </w:style>
  <w:style w:type="character" w:customStyle="1" w:styleId="dropcap">
    <w:name w:val="dropcap"/>
    <w:basedOn w:val="a0"/>
    <w:qFormat/>
    <w:rsid w:val="00427B38"/>
  </w:style>
  <w:style w:type="paragraph" w:customStyle="1" w:styleId="CM72">
    <w:name w:val="CM72"/>
    <w:basedOn w:val="Default"/>
    <w:next w:val="Default"/>
    <w:uiPriority w:val="99"/>
    <w:qFormat/>
    <w:rsid w:val="00427B38"/>
    <w:pPr>
      <w:spacing w:line="266" w:lineRule="atLeast"/>
    </w:pPr>
    <w:rPr>
      <w:rFonts w:cstheme="minorBidi"/>
      <w:color w:val="auto"/>
    </w:rPr>
  </w:style>
  <w:style w:type="paragraph" w:customStyle="1" w:styleId="CM115">
    <w:name w:val="CM115"/>
    <w:basedOn w:val="Default"/>
    <w:next w:val="Default"/>
    <w:uiPriority w:val="99"/>
    <w:qFormat/>
    <w:rsid w:val="00427B38"/>
    <w:rPr>
      <w:rFonts w:cstheme="minorBidi"/>
      <w:color w:val="auto"/>
    </w:rPr>
  </w:style>
  <w:style w:type="paragraph" w:customStyle="1" w:styleId="CM123">
    <w:name w:val="CM123"/>
    <w:basedOn w:val="Default"/>
    <w:next w:val="Default"/>
    <w:uiPriority w:val="99"/>
    <w:qFormat/>
    <w:rsid w:val="00427B38"/>
    <w:rPr>
      <w:rFonts w:cstheme="minorBidi"/>
      <w:color w:val="auto"/>
    </w:rPr>
  </w:style>
  <w:style w:type="character" w:customStyle="1" w:styleId="11">
    <w:name w:val="إشارة لم يتم حلها1"/>
    <w:basedOn w:val="a0"/>
    <w:uiPriority w:val="99"/>
    <w:semiHidden/>
    <w:unhideWhenUsed/>
    <w:rsid w:val="00427B38"/>
    <w:rPr>
      <w:color w:val="605E5C"/>
      <w:shd w:val="clear" w:color="auto" w:fill="E1DFDD"/>
    </w:rPr>
  </w:style>
  <w:style w:type="numbering" w:customStyle="1" w:styleId="12">
    <w:name w:val="بلا قائمة1"/>
    <w:next w:val="a2"/>
    <w:uiPriority w:val="99"/>
    <w:semiHidden/>
    <w:unhideWhenUsed/>
    <w:rsid w:val="00427B38"/>
  </w:style>
  <w:style w:type="numbering" w:customStyle="1" w:styleId="20">
    <w:name w:val="بلا قائمة2"/>
    <w:next w:val="a2"/>
    <w:uiPriority w:val="99"/>
    <w:semiHidden/>
    <w:unhideWhenUsed/>
    <w:rsid w:val="00427B38"/>
  </w:style>
  <w:style w:type="character" w:customStyle="1" w:styleId="21">
    <w:name w:val="إشارة لم يتم حلها2"/>
    <w:basedOn w:val="a0"/>
    <w:uiPriority w:val="99"/>
    <w:semiHidden/>
    <w:unhideWhenUsed/>
    <w:rsid w:val="00427B38"/>
    <w:rPr>
      <w:color w:val="605E5C"/>
      <w:shd w:val="clear" w:color="auto" w:fill="E1DFDD"/>
    </w:rPr>
  </w:style>
  <w:style w:type="paragraph" w:styleId="af5">
    <w:name w:val="Title"/>
    <w:basedOn w:val="a"/>
    <w:link w:val="Char5"/>
    <w:uiPriority w:val="10"/>
    <w:qFormat/>
    <w:rsid w:val="00427B38"/>
    <w:pPr>
      <w:widowControl w:val="0"/>
      <w:autoSpaceDE w:val="0"/>
      <w:autoSpaceDN w:val="0"/>
      <w:spacing w:after="0" w:line="240" w:lineRule="auto"/>
      <w:ind w:left="110" w:right="876" w:hanging="5"/>
    </w:pPr>
    <w:rPr>
      <w:rFonts w:ascii="Arial" w:eastAsia="Arial" w:hAnsi="Arial" w:cs="Times New Roman"/>
      <w:b/>
      <w:bCs/>
      <w:sz w:val="28"/>
      <w:szCs w:val="28"/>
    </w:rPr>
  </w:style>
  <w:style w:type="character" w:customStyle="1" w:styleId="Char5">
    <w:name w:val="العنوان Char"/>
    <w:basedOn w:val="a0"/>
    <w:link w:val="af5"/>
    <w:uiPriority w:val="10"/>
    <w:rsid w:val="00427B38"/>
    <w:rPr>
      <w:rFonts w:ascii="Arial" w:eastAsia="Arial" w:hAnsi="Arial" w:cs="Times New Roman"/>
      <w:b/>
      <w:bCs/>
      <w:sz w:val="28"/>
      <w:szCs w:val="28"/>
    </w:rPr>
  </w:style>
  <w:style w:type="paragraph" w:styleId="af6">
    <w:name w:val="Quote"/>
    <w:basedOn w:val="a"/>
    <w:next w:val="a"/>
    <w:link w:val="Char6"/>
    <w:uiPriority w:val="29"/>
    <w:qFormat/>
    <w:rsid w:val="00427B38"/>
    <w:pPr>
      <w:bidi/>
      <w:spacing w:after="200" w:line="276" w:lineRule="auto"/>
    </w:pPr>
    <w:rPr>
      <w:rFonts w:ascii="Calibri" w:eastAsia="Times New Roman" w:hAnsi="Calibri" w:cs="Times New Roman"/>
      <w:i/>
      <w:iCs/>
      <w:color w:val="000000"/>
      <w:sz w:val="20"/>
      <w:szCs w:val="20"/>
    </w:rPr>
  </w:style>
  <w:style w:type="character" w:customStyle="1" w:styleId="Char6">
    <w:name w:val="اقتباس Char"/>
    <w:basedOn w:val="a0"/>
    <w:link w:val="af6"/>
    <w:uiPriority w:val="29"/>
    <w:rsid w:val="00427B38"/>
    <w:rPr>
      <w:rFonts w:ascii="Calibri" w:eastAsia="Times New Roman" w:hAnsi="Calibri" w:cs="Times New Roman"/>
      <w:i/>
      <w:iCs/>
      <w:color w:val="000000"/>
      <w:sz w:val="20"/>
      <w:szCs w:val="20"/>
    </w:rPr>
  </w:style>
  <w:style w:type="paragraph" w:customStyle="1" w:styleId="tablefootnote">
    <w:name w:val="table footnote"/>
    <w:rsid w:val="00427B38"/>
    <w:pPr>
      <w:spacing w:before="60" w:after="30" w:line="240" w:lineRule="auto"/>
      <w:jc w:val="right"/>
    </w:pPr>
    <w:rPr>
      <w:rFonts w:ascii="Times New Roman" w:eastAsia="ヒラギノ角ゴ Pro W3" w:hAnsi="Times New Roman" w:cs="Times New Roman"/>
      <w:color w:val="000000"/>
      <w:sz w:val="12"/>
      <w:szCs w:val="20"/>
    </w:rPr>
  </w:style>
  <w:style w:type="paragraph" w:styleId="af7">
    <w:name w:val="Subtitle"/>
    <w:basedOn w:val="a"/>
    <w:next w:val="a"/>
    <w:link w:val="Char7"/>
    <w:uiPriority w:val="11"/>
    <w:qFormat/>
    <w:rsid w:val="00427B38"/>
    <w:pPr>
      <w:numPr>
        <w:ilvl w:val="1"/>
      </w:numPr>
      <w:bidi/>
      <w:spacing w:line="278" w:lineRule="auto"/>
    </w:pPr>
    <w:rPr>
      <w:rFonts w:ascii="Aptos" w:eastAsia="Times New Roman" w:hAnsi="Aptos" w:cs="Times New Roman"/>
      <w:color w:val="595959"/>
      <w:spacing w:val="15"/>
      <w:kern w:val="2"/>
      <w:sz w:val="28"/>
      <w:szCs w:val="28"/>
    </w:rPr>
  </w:style>
  <w:style w:type="character" w:customStyle="1" w:styleId="Char7">
    <w:name w:val="عنوان فرعي Char"/>
    <w:basedOn w:val="a0"/>
    <w:link w:val="af7"/>
    <w:uiPriority w:val="11"/>
    <w:rsid w:val="00427B38"/>
    <w:rPr>
      <w:rFonts w:ascii="Aptos" w:eastAsia="Times New Roman" w:hAnsi="Aptos" w:cs="Times New Roman"/>
      <w:color w:val="595959"/>
      <w:spacing w:val="15"/>
      <w:kern w:val="2"/>
      <w:sz w:val="28"/>
      <w:szCs w:val="28"/>
    </w:rPr>
  </w:style>
  <w:style w:type="character" w:styleId="af8">
    <w:name w:val="Intense Emphasis"/>
    <w:uiPriority w:val="21"/>
    <w:qFormat/>
    <w:rsid w:val="00427B38"/>
    <w:rPr>
      <w:i/>
      <w:iCs/>
      <w:color w:val="0F4761"/>
    </w:rPr>
  </w:style>
  <w:style w:type="paragraph" w:styleId="af9">
    <w:name w:val="Intense Quote"/>
    <w:basedOn w:val="a"/>
    <w:next w:val="a"/>
    <w:link w:val="Char8"/>
    <w:uiPriority w:val="30"/>
    <w:qFormat/>
    <w:rsid w:val="00427B38"/>
    <w:pPr>
      <w:pBdr>
        <w:top w:val="single" w:sz="4" w:space="10" w:color="0F4761"/>
        <w:bottom w:val="single" w:sz="4" w:space="10" w:color="0F4761"/>
      </w:pBdr>
      <w:bidi/>
      <w:spacing w:before="360" w:after="360" w:line="278" w:lineRule="auto"/>
      <w:ind w:left="864" w:right="864"/>
      <w:jc w:val="center"/>
    </w:pPr>
    <w:rPr>
      <w:rFonts w:ascii="Aptos" w:eastAsia="Times New Roman" w:hAnsi="Aptos" w:cs="Arial"/>
      <w:i/>
      <w:iCs/>
      <w:color w:val="0F4761"/>
      <w:kern w:val="2"/>
      <w:sz w:val="24"/>
      <w:szCs w:val="24"/>
    </w:rPr>
  </w:style>
  <w:style w:type="character" w:customStyle="1" w:styleId="Char8">
    <w:name w:val="اقتباس مكثف Char"/>
    <w:basedOn w:val="a0"/>
    <w:link w:val="af9"/>
    <w:uiPriority w:val="30"/>
    <w:rsid w:val="00427B38"/>
    <w:rPr>
      <w:rFonts w:ascii="Aptos" w:eastAsia="Times New Roman" w:hAnsi="Aptos" w:cs="Arial"/>
      <w:i/>
      <w:iCs/>
      <w:color w:val="0F4761"/>
      <w:kern w:val="2"/>
      <w:sz w:val="24"/>
      <w:szCs w:val="24"/>
    </w:rPr>
  </w:style>
  <w:style w:type="character" w:styleId="afa">
    <w:name w:val="Intense Reference"/>
    <w:uiPriority w:val="32"/>
    <w:qFormat/>
    <w:rsid w:val="00427B38"/>
    <w:rPr>
      <w:b/>
      <w:bCs/>
      <w:smallCaps/>
      <w:color w:val="0F4761"/>
      <w:spacing w:val="5"/>
    </w:rPr>
  </w:style>
  <w:style w:type="character" w:customStyle="1" w:styleId="Char9">
    <w:name w:val="رأس الصفحة Char"/>
    <w:uiPriority w:val="99"/>
    <w:rsid w:val="00427B38"/>
  </w:style>
  <w:style w:type="character" w:customStyle="1" w:styleId="Chara">
    <w:name w:val="تذييل الصفحة Char"/>
    <w:uiPriority w:val="99"/>
    <w:rsid w:val="00427B38"/>
  </w:style>
  <w:style w:type="character" w:styleId="afb">
    <w:name w:val="page number"/>
    <w:basedOn w:val="a0"/>
    <w:uiPriority w:val="99"/>
    <w:semiHidden/>
    <w:unhideWhenUsed/>
    <w:rsid w:val="00427B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5.emf"/></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openxmlformats.org/officeDocument/2006/relationships/image" Target="media/image7.png"/><Relationship Id="rId2" Type="http://schemas.microsoft.com/office/2007/relationships/hdphoto" Target="media/hdphoto1.wdp"/><Relationship Id="rId1" Type="http://schemas.openxmlformats.org/officeDocument/2006/relationships/image" Target="media/image6.png"/><Relationship Id="rId4"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3C8F5CF9B234C8C8172A3C2E5012D7F"/>
        <w:category>
          <w:name w:val="عام"/>
          <w:gallery w:val="placeholder"/>
        </w:category>
        <w:types>
          <w:type w:val="bbPlcHdr"/>
        </w:types>
        <w:behaviors>
          <w:behavior w:val="content"/>
        </w:behaviors>
        <w:guid w:val="{088BC6DE-B210-484F-B6AE-4E24F661B0ED}"/>
      </w:docPartPr>
      <w:docPartBody>
        <w:p w:rsidR="00936969" w:rsidRDefault="00E973DE" w:rsidP="00E973DE">
          <w:pPr>
            <w:pStyle w:val="C3C8F5CF9B234C8C8172A3C2E5012D7F"/>
          </w:pPr>
          <w:r>
            <w:rPr>
              <w:caps/>
              <w:color w:val="FFFFFF" w:themeColor="background1"/>
              <w:rtl/>
              <w:lang w:val="ar-SA"/>
            </w:rPr>
            <w:t>[عنوان المستند]</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implified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ヒラギノ角ゴ Pro W3">
    <w:altName w:val="Yu Gothic"/>
    <w:charset w:val="80"/>
    <w:family w:val="swiss"/>
    <w:pitch w:val="variable"/>
    <w:sig w:usb0="E00002FF" w:usb1="7AC7FFFF" w:usb2="00000012" w:usb3="00000000" w:csb0="0002000D" w:csb1="00000000"/>
  </w:font>
  <w:font w:name="Sakkal Majalla">
    <w:panose1 w:val="02000000000000000000"/>
    <w:charset w:val="00"/>
    <w:family w:val="auto"/>
    <w:pitch w:val="variable"/>
    <w:sig w:usb0="A0002027" w:usb1="80000000" w:usb2="00000108" w:usb3="00000000" w:csb0="000000D3" w:csb1="00000000"/>
  </w:font>
  <w:font w:name="Traditional Arabic">
    <w:panose1 w:val="02020603050405020304"/>
    <w:charset w:val="00"/>
    <w:family w:val="roman"/>
    <w:pitch w:val="variable"/>
    <w:sig w:usb0="00002003" w:usb1="80000000" w:usb2="00000008" w:usb3="00000000" w:csb0="0000004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E973DE"/>
    <w:rsid w:val="000132A0"/>
    <w:rsid w:val="000A2763"/>
    <w:rsid w:val="00115B73"/>
    <w:rsid w:val="00381C31"/>
    <w:rsid w:val="00763B0D"/>
    <w:rsid w:val="007D4703"/>
    <w:rsid w:val="00936969"/>
    <w:rsid w:val="00C46A74"/>
    <w:rsid w:val="00DA09C0"/>
    <w:rsid w:val="00E973DE"/>
    <w:rsid w:val="00F11F7C"/>
    <w:rsid w:val="00F46CD9"/>
    <w:rsid w:val="00F9116B"/>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D4703"/>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C8F5CF9B234C8C8172A3C2E5012D7F">
    <w:name w:val="C3C8F5CF9B234C8C8172A3C2E5012D7F"/>
    <w:rsid w:val="00E973DE"/>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2F379D7-7F28-4A13-B301-718FF0D207E4}">
  <we:reference id="wa200000013" version="2.0.0.0" store="ar-SA" storeType="OMEX"/>
  <we:alternateReferences>
    <we:reference id="wa200000013" version="2.0.0.0" store="wa200000013"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77DEAA-B877-4872-A1F9-135AA10D6C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4216</Words>
  <Characters>24036</Characters>
  <Application>Microsoft Office Word</Application>
  <DocSecurity>0</DocSecurity>
  <Lines>200</Lines>
  <Paragraphs>56</Paragraphs>
  <ScaleCrop>false</ScaleCrop>
  <HeadingPairs>
    <vt:vector size="2" baseType="variant">
      <vt:variant>
        <vt:lpstr>العنوان</vt:lpstr>
      </vt:variant>
      <vt:variant>
        <vt:i4>1</vt:i4>
      </vt:variant>
    </vt:vector>
  </HeadingPairs>
  <TitlesOfParts>
    <vt:vector size="1" baseType="lpstr">
      <vt:lpstr>Article History : Received 00 December 00 - Received in revised form 00 January 00 - Accepted 00 February 00</vt:lpstr>
    </vt:vector>
  </TitlesOfParts>
  <Company>SACC</Company>
  <LinksUpToDate>false</LinksUpToDate>
  <CharactersWithSpaces>28196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Article History : Received 00 December 00 - Received in revised form 00 January 00 - Accepted 00 February 00</dc:title>
  <dc:subject/>
  <dc:creator>Dr. HP</dc:creator>
  <cp:keywords/>
  <dc:description/>
  <cp:lastModifiedBy>Alsalam University</cp:lastModifiedBy>
  <cp:revision>2</cp:revision>
  <cp:lastPrinted>2025-08-02T19:46:00Z</cp:lastPrinted>
  <dcterms:created xsi:type="dcterms:W3CDTF">2026-07-26T09:07:00Z</dcterms:created>
  <dcterms:modified xsi:type="dcterms:W3CDTF">2026-07-26T09:07:00Z</dcterms:modified>
</cp:coreProperties>
</file>